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04E3604" w:rsidR="006E4C89" w:rsidRPr="003A4297" w:rsidRDefault="00AA275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5EF20E06" w:rsidR="006E4C89" w:rsidRPr="003A4297" w:rsidRDefault="001208DF" w:rsidP="00B20A07">
            <w:r>
              <w:t>Arendusnõunik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29ED7C7" w:rsidR="006E4C89" w:rsidRPr="003A4297" w:rsidRDefault="00AA275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DE3AA8C" w:rsidR="006E4C89" w:rsidRPr="003A4297" w:rsidRDefault="001208DF">
            <w:pPr>
              <w:rPr>
                <w:b/>
              </w:rPr>
            </w:pPr>
            <w:r>
              <w:rPr>
                <w:b/>
              </w:rPr>
              <w:t>Kaimo Puniste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3F33CFD5" w:rsidR="006E4C89" w:rsidRPr="0074282A" w:rsidRDefault="008E0CE0" w:rsidP="00735734">
            <w:pPr>
              <w:rPr>
                <w:highlight w:val="yellow"/>
              </w:rPr>
            </w:pPr>
            <w:r>
              <w:t xml:space="preserve">Arendusbüroo </w:t>
            </w:r>
            <w:r w:rsidR="005B53AD">
              <w:t>ärianalüütik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2E5B046E" w:rsidR="006E4C89" w:rsidRPr="0074282A" w:rsidRDefault="008E0CE0">
            <w:pPr>
              <w:rPr>
                <w:highlight w:val="yellow"/>
              </w:rPr>
            </w:pPr>
            <w:r>
              <w:t xml:space="preserve">Arendusbüroo </w:t>
            </w:r>
            <w:r w:rsidR="005B53AD">
              <w:t>juhataja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2B3437A7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  <w:r w:rsidR="005B53AD">
              <w:t xml:space="preserve"> oma valdkonna piires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E9363B">
            <w:r w:rsidRPr="00E9363B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00172465" w:rsidR="006E4C89" w:rsidRPr="003A4297" w:rsidRDefault="00E9363B">
            <w:r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9B36A8" w14:textId="5EA77B17" w:rsidR="005B53AD" w:rsidRDefault="005B53AD" w:rsidP="007F27B3">
      <w:pPr>
        <w:ind w:left="-180"/>
        <w:jc w:val="both"/>
      </w:pPr>
      <w:r w:rsidRPr="005B53AD">
        <w:t xml:space="preserve">Arendusnõuniku töö </w:t>
      </w:r>
      <w:r>
        <w:t>eesmärgiks</w:t>
      </w:r>
      <w:r w:rsidRPr="005B53AD">
        <w:t xml:space="preserve"> on </w:t>
      </w:r>
      <w:r w:rsidRPr="00FD0B6E">
        <w:t>Euroopa Liidu ühise põllumajanduspoliitika abinõude, maaelu ja põllumajandusturu korraldamise riiklike abinõude ning kalandusturu korraldamise abinõude meetmete</w:t>
      </w:r>
      <w:r w:rsidRPr="00BA5831">
        <w:t>, turukorralduse ja riiklike toetuste meet</w:t>
      </w:r>
      <w:r>
        <w:t xml:space="preserve">mete </w:t>
      </w:r>
      <w:r w:rsidRPr="005B53AD">
        <w:t>ehitustegevusega seotud projektide menetlusse panustamine, mis hõlmab endas nii dokumentaalset kontrolli kui ka vajadusel kohapealset kontrolli</w:t>
      </w:r>
      <w:r>
        <w:t xml:space="preserve">, </w:t>
      </w:r>
      <w:r w:rsidRPr="005B53AD">
        <w:t>ehitustegevuse kontrollimisega seotud koolituste läbiviimi</w:t>
      </w:r>
      <w:r>
        <w:t>ne</w:t>
      </w:r>
      <w:r w:rsidRPr="005B53AD">
        <w:t xml:space="preserve"> ja korraldamine ning </w:t>
      </w:r>
      <w:proofErr w:type="spellStart"/>
      <w:r w:rsidRPr="005B53AD">
        <w:t>menetlejate</w:t>
      </w:r>
      <w:proofErr w:type="spellEnd"/>
      <w:r w:rsidRPr="005B53AD">
        <w:t xml:space="preserve"> juhendamine. </w:t>
      </w:r>
      <w:r>
        <w:t xml:space="preserve">Lisaks osaleb </w:t>
      </w:r>
      <w:r w:rsidR="00E30D60">
        <w:t xml:space="preserve">ja veab vajadusel eest </w:t>
      </w:r>
      <w:r w:rsidRPr="00BA5831">
        <w:t>Maaelu Arengu toetuste süsteemi (edaspidi MATS</w:t>
      </w:r>
      <w:r>
        <w:t>)</w:t>
      </w:r>
      <w:r w:rsidRPr="005B53AD">
        <w:t xml:space="preserve"> arendustöö</w:t>
      </w:r>
      <w:r w:rsidR="00E30D60">
        <w:t>d</w:t>
      </w:r>
      <w:r w:rsidRPr="005B53AD">
        <w:t>, mis on seotud ehitustegevuse ja selle kontrollimisega</w:t>
      </w:r>
      <w:r w:rsidR="00E30D60">
        <w:t xml:space="preserve"> või võrdlushindade kataloogiga.</w:t>
      </w:r>
    </w:p>
    <w:p w14:paraId="1D47E1DB" w14:textId="77777777" w:rsidR="005B53AD" w:rsidRDefault="005B53AD" w:rsidP="007F27B3">
      <w:pPr>
        <w:ind w:left="-180"/>
        <w:jc w:val="both"/>
      </w:pPr>
    </w:p>
    <w:p w14:paraId="55D98BAC" w14:textId="744303F5" w:rsidR="006E4C89" w:rsidRDefault="006E4C89" w:rsidP="007F27B3">
      <w:pPr>
        <w:ind w:left="-180"/>
        <w:jc w:val="both"/>
      </w:pPr>
      <w:r w:rsidRPr="003A4297">
        <w:t>Töö eeldab suhtlemist asutuse klientidega</w:t>
      </w:r>
      <w:r w:rsidR="0095393E" w:rsidRPr="003A4297">
        <w:t>,</w:t>
      </w:r>
      <w:r w:rsidRPr="003A4297">
        <w:t xml:space="preserve"> teiste ametiasutustega</w:t>
      </w:r>
      <w:r w:rsidR="0095393E" w:rsidRPr="003A4297">
        <w:t xml:space="preserve"> ja arendusfirmadega</w:t>
      </w:r>
      <w:r w:rsidRPr="003A4297">
        <w:t xml:space="preserve"> telefoni</w:t>
      </w:r>
      <w:r w:rsidR="00E9363B">
        <w:t xml:space="preserve"> ja</w:t>
      </w:r>
      <w:r w:rsidRPr="003A4297">
        <w:t xml:space="preserve"> kirja teel või koosolekutel, milles on olulisel kohal heade kliendisuhete loomine, viisakas ja lahendustele orienteeritud käitumine. </w:t>
      </w:r>
      <w:r w:rsidR="00E9363B" w:rsidRPr="00BA5831">
        <w:t>Teenistuja juhindub elementaarsetest klienditeeninduse viisakusnõuetest.</w:t>
      </w:r>
    </w:p>
    <w:p w14:paraId="49FBBC00" w14:textId="77777777" w:rsidR="007F27B3" w:rsidRPr="007F27B3" w:rsidRDefault="007F27B3" w:rsidP="007F27B3">
      <w:pPr>
        <w:ind w:left="-180"/>
        <w:jc w:val="both"/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736EE6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E30D60" w:rsidRPr="003A4297" w14:paraId="3B85040A" w14:textId="77777777" w:rsidTr="00736EE6">
        <w:tc>
          <w:tcPr>
            <w:tcW w:w="4248" w:type="dxa"/>
          </w:tcPr>
          <w:p w14:paraId="1DF6169D" w14:textId="5BC94C94" w:rsidR="00E30D60" w:rsidRDefault="00E30D60" w:rsidP="00E30D60">
            <w:r>
              <w:t xml:space="preserve">Ehitustegevusega seotud </w:t>
            </w:r>
            <w:r w:rsidR="00324A3A">
              <w:t>meetmete/sekkumistega väljatöötamises osalemine</w:t>
            </w:r>
          </w:p>
          <w:p w14:paraId="6C5D9518" w14:textId="77777777" w:rsidR="00E30D60" w:rsidRDefault="00E30D60"/>
        </w:tc>
        <w:tc>
          <w:tcPr>
            <w:tcW w:w="4274" w:type="dxa"/>
          </w:tcPr>
          <w:p w14:paraId="429BB55D" w14:textId="694F6E5B" w:rsidR="00E30D60" w:rsidRDefault="00E30D60" w:rsidP="00E30D60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toetuse menetlemist reguleerivate õigusaktide väljatöötamisel ja tehtud ettepanekuid oma pädevusse kuuluvates küsimustes;</w:t>
            </w:r>
          </w:p>
          <w:p w14:paraId="6A8981A1" w14:textId="49AC9D80" w:rsidR="00E30D60" w:rsidRDefault="00E30D60" w:rsidP="00E30D60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lastRenderedPageBreak/>
              <w:t>On osaletud abiks taotlejale juhendmaterjali kommenteerimisel ja täiendamisel;</w:t>
            </w:r>
          </w:p>
          <w:p w14:paraId="5D2DA7A3" w14:textId="383EFD51" w:rsidR="00E30D60" w:rsidRDefault="00E30D60" w:rsidP="00E30D6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On osaletud protseduuride, standardite ja juhiste väljatöötamisel ja täiendamisel.</w:t>
            </w:r>
          </w:p>
        </w:tc>
      </w:tr>
      <w:tr w:rsidR="00E30D60" w:rsidRPr="003A4297" w14:paraId="773AC43D" w14:textId="77777777" w:rsidTr="00736EE6">
        <w:tc>
          <w:tcPr>
            <w:tcW w:w="4248" w:type="dxa"/>
          </w:tcPr>
          <w:p w14:paraId="1011F6FF" w14:textId="70299FBE" w:rsidR="00E30D60" w:rsidRDefault="00E30D60">
            <w:r>
              <w:lastRenderedPageBreak/>
              <w:t>Ehitustegevusega seotud investeeringutoetuste kohapealse ja halduskontrolli osas teenistujate nõustamine, kontrolli teostamine ja täiendavate toimingute tegemine</w:t>
            </w:r>
          </w:p>
        </w:tc>
        <w:tc>
          <w:tcPr>
            <w:tcW w:w="4274" w:type="dxa"/>
          </w:tcPr>
          <w:p w14:paraId="59CEE1CB" w14:textId="5728D15C" w:rsidR="00324A3A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Taotluste menetlemisel on kinni peetud kõikidest taotluste menetlemise protseduurireeglitest ning seadustest tulenevatest nõuetest ja tähtaegadest;</w:t>
            </w:r>
          </w:p>
          <w:p w14:paraId="70B91637" w14:textId="6BCD23CA" w:rsidR="00324A3A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nõustatud teisi teenistujaid ehitustegevusega seotud taotluste menetlemisel;</w:t>
            </w:r>
          </w:p>
          <w:p w14:paraId="07962449" w14:textId="1796D3F9" w:rsidR="00324A3A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Vajadusel on osaletud ehitustegevusega seotud kontrollides;</w:t>
            </w:r>
          </w:p>
          <w:p w14:paraId="1C3D5035" w14:textId="25FAB201" w:rsidR="00E30D60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Vajadusel on korraldatud täiendavate ehitusekspertiiside tellimine.</w:t>
            </w:r>
          </w:p>
        </w:tc>
      </w:tr>
      <w:tr w:rsidR="00E30D60" w:rsidRPr="003A4297" w14:paraId="7832B3EB" w14:textId="77777777" w:rsidTr="00736EE6">
        <w:tc>
          <w:tcPr>
            <w:tcW w:w="4248" w:type="dxa"/>
          </w:tcPr>
          <w:p w14:paraId="2370F975" w14:textId="06D594DB" w:rsidR="00E30D60" w:rsidRDefault="00E30D60">
            <w:r>
              <w:t>Ehitustegevusega seotud töö ja töövõtete efektiivsemaks muutmises osalemine</w:t>
            </w:r>
          </w:p>
        </w:tc>
        <w:tc>
          <w:tcPr>
            <w:tcW w:w="4274" w:type="dxa"/>
          </w:tcPr>
          <w:p w14:paraId="71B831C2" w14:textId="633DAB99" w:rsidR="00324A3A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välja töötatud efektiivsemad töövõtted ja tagatud nende rakendamine (</w:t>
            </w:r>
            <w:r w:rsidR="001049D7">
              <w:t>i</w:t>
            </w:r>
            <w:r>
              <w:t>ndikatsioonhinna analüüs, erinevad mudelid jne.);</w:t>
            </w:r>
          </w:p>
          <w:p w14:paraId="4259D51D" w14:textId="5AE05AB3" w:rsidR="00324A3A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Vajadusel on korraldatud ja läbiviidud vastavad koolitused ja/või juhendamised;</w:t>
            </w:r>
          </w:p>
          <w:p w14:paraId="401EC9DB" w14:textId="0B519A45" w:rsidR="00E30D60" w:rsidRDefault="00324A3A" w:rsidP="00324A3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Vajadusel on korraldatud ja läbi viidud ehitustegevusega seotud hanked ja analüüsid.</w:t>
            </w:r>
          </w:p>
        </w:tc>
      </w:tr>
      <w:tr w:rsidR="00A3504A" w:rsidRPr="003A4297" w14:paraId="55D98BBA" w14:textId="77777777" w:rsidTr="00736EE6">
        <w:tc>
          <w:tcPr>
            <w:tcW w:w="4248" w:type="dxa"/>
          </w:tcPr>
          <w:p w14:paraId="55D98BB4" w14:textId="6B29CDE3" w:rsidR="00A3504A" w:rsidRPr="003A4297" w:rsidRDefault="00E96E4B">
            <w:r>
              <w:t>MATS</w:t>
            </w:r>
            <w:r w:rsidR="008E0CE0">
              <w:t xml:space="preserve"> </w:t>
            </w:r>
            <w:r w:rsidR="00E946D0">
              <w:t xml:space="preserve">(sh </w:t>
            </w:r>
            <w:r w:rsidR="008E0CE0">
              <w:t>e-PRIA</w:t>
            </w:r>
            <w:r w:rsidR="00E946D0">
              <w:t>)</w:t>
            </w:r>
            <w:r w:rsidR="00FD5746">
              <w:t xml:space="preserve"> infosüsteemi</w:t>
            </w:r>
            <w:r>
              <w:t xml:space="preserve"> arenduste tellimine</w:t>
            </w:r>
            <w:r w:rsidR="00E1084D">
              <w:t xml:space="preserve"> ehitustega ja võrdlushindade kataloogiga seonduvas osas</w:t>
            </w:r>
          </w:p>
        </w:tc>
        <w:tc>
          <w:tcPr>
            <w:tcW w:w="4274" w:type="dxa"/>
          </w:tcPr>
          <w:p w14:paraId="55D98BB5" w14:textId="376190EB" w:rsidR="004A5F63" w:rsidRDefault="00E96E4B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 w:rsidR="0027764A" w:rsidRPr="00686DB3">
              <w:t xml:space="preserve"> arendamiseks vajalikud </w:t>
            </w:r>
            <w:r w:rsidR="00E946D0">
              <w:t>vajadused/nõuded on püstitatud ja ärianalüüsid kirjeldatud tähtaegselt;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79762664" w:rsidR="00BF17AA" w:rsidRDefault="00E946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Arenduste tellimisel on tagatud o</w:t>
            </w:r>
            <w:r w:rsidR="00686DB3" w:rsidRPr="00686DB3">
              <w:t>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E946D0" w:rsidRPr="003A4297" w14:paraId="1BC6D1B7" w14:textId="77777777" w:rsidTr="00736EE6">
        <w:tc>
          <w:tcPr>
            <w:tcW w:w="4248" w:type="dxa"/>
          </w:tcPr>
          <w:p w14:paraId="5A6B7497" w14:textId="141D1045" w:rsidR="00E946D0" w:rsidRDefault="00916F5F">
            <w:r>
              <w:t>Standardprotsesside arendami</w:t>
            </w:r>
            <w:r w:rsidR="00736EE6">
              <w:t>ses</w:t>
            </w:r>
            <w:r>
              <w:t xml:space="preserve"> ja parendami</w:t>
            </w:r>
            <w:r w:rsidR="00736EE6">
              <w:t>ses osalemine</w:t>
            </w:r>
          </w:p>
        </w:tc>
        <w:tc>
          <w:tcPr>
            <w:tcW w:w="4274" w:type="dxa"/>
          </w:tcPr>
          <w:p w14:paraId="6764A97B" w14:textId="2A5CAD73" w:rsidR="00916F5F" w:rsidRDefault="00916F5F" w:rsidP="00E356E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Osakonna standardprotsessid </w:t>
            </w:r>
            <w:r w:rsidR="00736EE6">
              <w:t xml:space="preserve">ehitustegevustega ja võrdlushindade kataloogiga seonduvalt </w:t>
            </w:r>
            <w:r>
              <w:t>on kirjeldatud ja ajakohased</w:t>
            </w:r>
            <w:r w:rsidR="00E356E5">
              <w:t>.</w:t>
            </w:r>
          </w:p>
        </w:tc>
      </w:tr>
      <w:tr w:rsidR="006C77CE" w:rsidRPr="003A4297" w14:paraId="55D98BBE" w14:textId="77777777" w:rsidTr="00736EE6">
        <w:tc>
          <w:tcPr>
            <w:tcW w:w="4248" w:type="dxa"/>
          </w:tcPr>
          <w:p w14:paraId="55D98BBB" w14:textId="77777777" w:rsidR="006C77CE" w:rsidRPr="00686DB3" w:rsidRDefault="00E96E4B">
            <w:r>
              <w:lastRenderedPageBreak/>
              <w:t>Testimine</w:t>
            </w:r>
          </w:p>
        </w:tc>
        <w:tc>
          <w:tcPr>
            <w:tcW w:w="4274" w:type="dxa"/>
          </w:tcPr>
          <w:p w14:paraId="55D98BBC" w14:textId="7A79C4E6" w:rsidR="006C77CE" w:rsidRDefault="00736EE6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Ehitustegevustega ja võrdlushindade kataloogiga seotud t</w:t>
            </w:r>
            <w:r w:rsidR="00FB60F1">
              <w:t>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736EE6">
        <w:tc>
          <w:tcPr>
            <w:tcW w:w="4248" w:type="dxa"/>
          </w:tcPr>
          <w:p w14:paraId="55D98BBF" w14:textId="77777777" w:rsidR="00686DB3" w:rsidRPr="00E946D0" w:rsidRDefault="00686DB3">
            <w:r w:rsidRPr="00E946D0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E946D0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 xml:space="preserve">Teenistuja on osa võtnud kõigist toimuvatest töökoosolekutest, kus tema </w:t>
            </w:r>
            <w:proofErr w:type="spellStart"/>
            <w:r w:rsidRPr="00E946D0">
              <w:t>kohalviibimine</w:t>
            </w:r>
            <w:proofErr w:type="spellEnd"/>
            <w:r w:rsidRPr="00E946D0">
              <w:t xml:space="preserve"> on nõutav ja ei ole puudunud ilma mõjuva põhjuseta.</w:t>
            </w:r>
          </w:p>
        </w:tc>
      </w:tr>
      <w:tr w:rsidR="00686DB3" w:rsidRPr="003A4297" w14:paraId="55D98BC5" w14:textId="77777777" w:rsidTr="00736EE6">
        <w:tc>
          <w:tcPr>
            <w:tcW w:w="4248" w:type="dxa"/>
          </w:tcPr>
          <w:p w14:paraId="55D98BC2" w14:textId="77777777" w:rsidR="00686DB3" w:rsidRPr="00E946D0" w:rsidRDefault="00686DB3">
            <w:r w:rsidRPr="00E946D0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E946D0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E946D0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1" w14:textId="77777777" w:rsidTr="00736EE6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6C9B3401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</w:t>
            </w:r>
            <w:r w:rsidR="001049D7">
              <w:t xml:space="preserve"> oma pädevusse kuuluvates küsimuste osas</w:t>
            </w:r>
            <w:r>
              <w:t>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E946D0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736EE6">
        <w:tc>
          <w:tcPr>
            <w:tcW w:w="4248" w:type="dxa"/>
          </w:tcPr>
          <w:p w14:paraId="55D98BD2" w14:textId="77777777" w:rsidR="00686DB3" w:rsidRPr="00E946D0" w:rsidRDefault="00686DB3">
            <w:r w:rsidRPr="00E946D0">
              <w:t>Lisaülesannete täitmine</w:t>
            </w:r>
          </w:p>
        </w:tc>
        <w:tc>
          <w:tcPr>
            <w:tcW w:w="4274" w:type="dxa"/>
          </w:tcPr>
          <w:p w14:paraId="55D98BD3" w14:textId="1A0FB7F9" w:rsidR="00686DB3" w:rsidRPr="00E946D0" w:rsidRDefault="00E946D0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>
              <w:t>Täidetud o</w:t>
            </w:r>
            <w:r w:rsidR="00686DB3" w:rsidRPr="00E946D0">
              <w:t>n vahetu juhi poolt määratud lisaülesanded.</w:t>
            </w:r>
          </w:p>
          <w:p w14:paraId="55D98BD4" w14:textId="77777777" w:rsidR="00686DB3" w:rsidRPr="00E946D0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Default="006E4C89"/>
    <w:p w14:paraId="6C737E9E" w14:textId="77777777" w:rsidR="001518E3" w:rsidRDefault="001518E3" w:rsidP="0013500E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68CE3CE0" w:rsidR="001518E3" w:rsidRPr="003A4297" w:rsidRDefault="001049D7" w:rsidP="006E5A1E">
            <w:pPr>
              <w:numPr>
                <w:ilvl w:val="0"/>
                <w:numId w:val="8"/>
              </w:numPr>
            </w:pPr>
            <w:r>
              <w:t>Ehitusalane kõrgharidus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49A4787F" w:rsidR="001518E3" w:rsidRPr="003A4297" w:rsidRDefault="00926958" w:rsidP="001518E3">
            <w:pPr>
              <w:numPr>
                <w:ilvl w:val="0"/>
                <w:numId w:val="8"/>
              </w:numPr>
            </w:pPr>
            <w:r w:rsidRPr="00926958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035668D5" w:rsidR="001518E3" w:rsidRPr="001518E3" w:rsidRDefault="001518E3" w:rsidP="001518E3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5E159042" w:rsidR="001518E3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0EDFE3E6" w14:textId="7161EDDC" w:rsidR="0026040F" w:rsidRPr="00732296" w:rsidRDefault="0026040F" w:rsidP="0026040F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1C638395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1FFD6A0" w:rsidR="00926958" w:rsidRPr="003A4297" w:rsidRDefault="00926958">
            <w:pPr>
              <w:numPr>
                <w:ilvl w:val="0"/>
                <w:numId w:val="6"/>
              </w:numPr>
            </w:pPr>
            <w:r>
              <w:t>a</w:t>
            </w:r>
            <w:r w:rsidRPr="00926958">
              <w:t>nalüüsi</w:t>
            </w:r>
            <w:r>
              <w:t>-</w:t>
            </w:r>
            <w:r w:rsidRPr="00926958">
              <w:t xml:space="preserve"> ja üldistamisvõime</w:t>
            </w:r>
          </w:p>
        </w:tc>
      </w:tr>
    </w:tbl>
    <w:p w14:paraId="55D98C2B" w14:textId="7D36DE2F" w:rsidR="00532669" w:rsidRDefault="00532669" w:rsidP="00532669"/>
    <w:p w14:paraId="3CF6A3B7" w14:textId="77777777" w:rsidR="00926958" w:rsidRDefault="00926958" w:rsidP="00532669"/>
    <w:p w14:paraId="0551F67F" w14:textId="346A2873" w:rsidR="00926958" w:rsidRDefault="00926958">
      <w:pPr>
        <w:rPr>
          <w:b/>
        </w:rPr>
      </w:pPr>
    </w:p>
    <w:p w14:paraId="55D98C2D" w14:textId="5CF38569" w:rsidR="006E4C89" w:rsidRPr="006D575E" w:rsidRDefault="006E4C89" w:rsidP="00532669">
      <w:r w:rsidRPr="00555050">
        <w:rPr>
          <w:b/>
        </w:rPr>
        <w:lastRenderedPageBreak/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E6647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926958">
        <w:rPr>
          <w:sz w:val="22"/>
          <w:szCs w:val="22"/>
        </w:rPr>
        <w:t>Heiki Sepp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FC830C4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="00934979">
        <w:rPr>
          <w:sz w:val="22"/>
          <w:szCs w:val="22"/>
        </w:rPr>
        <w:t xml:space="preserve">Nimi: </w:t>
      </w:r>
      <w:r w:rsidR="005B53AD" w:rsidRPr="005B53AD">
        <w:rPr>
          <w:sz w:val="22"/>
          <w:szCs w:val="22"/>
        </w:rPr>
        <w:t>Kaimo Puniste</w:t>
      </w:r>
      <w:r w:rsidR="00555050" w:rsidRPr="005B53AD">
        <w:rPr>
          <w:sz w:val="22"/>
          <w:szCs w:val="22"/>
        </w:rPr>
        <w:t>:</w:t>
      </w:r>
      <w:r w:rsidR="00555050">
        <w:rPr>
          <w:sz w:val="22"/>
          <w:szCs w:val="22"/>
        </w:rPr>
        <w:t xml:space="preserve"> 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02E1" w14:textId="77777777" w:rsidR="00C76E65" w:rsidRDefault="00C76E65">
      <w:r>
        <w:separator/>
      </w:r>
    </w:p>
  </w:endnote>
  <w:endnote w:type="continuationSeparator" w:id="0">
    <w:p w14:paraId="0170C664" w14:textId="77777777" w:rsidR="00C76E65" w:rsidRDefault="00C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EAEB" w14:textId="77777777" w:rsidR="00C76E65" w:rsidRDefault="00C76E65">
      <w:r>
        <w:separator/>
      </w:r>
    </w:p>
  </w:footnote>
  <w:footnote w:type="continuationSeparator" w:id="0">
    <w:p w14:paraId="76CEAD1C" w14:textId="77777777" w:rsidR="00C76E65" w:rsidRDefault="00C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1679E"/>
    <w:rsid w:val="00045A8C"/>
    <w:rsid w:val="000A6928"/>
    <w:rsid w:val="000B4DDD"/>
    <w:rsid w:val="000D7649"/>
    <w:rsid w:val="000F2A40"/>
    <w:rsid w:val="0010467A"/>
    <w:rsid w:val="001049D7"/>
    <w:rsid w:val="001128D1"/>
    <w:rsid w:val="001130D8"/>
    <w:rsid w:val="00114458"/>
    <w:rsid w:val="001201AF"/>
    <w:rsid w:val="001208DF"/>
    <w:rsid w:val="00123E81"/>
    <w:rsid w:val="0013500E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6040F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4A3A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152E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53AD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36EE6"/>
    <w:rsid w:val="00741D09"/>
    <w:rsid w:val="0074282A"/>
    <w:rsid w:val="00747D93"/>
    <w:rsid w:val="00747DB9"/>
    <w:rsid w:val="007653D5"/>
    <w:rsid w:val="00767E66"/>
    <w:rsid w:val="0078501F"/>
    <w:rsid w:val="007918E0"/>
    <w:rsid w:val="00792F4D"/>
    <w:rsid w:val="007A3BD7"/>
    <w:rsid w:val="007B2CA6"/>
    <w:rsid w:val="007B46CE"/>
    <w:rsid w:val="007C7505"/>
    <w:rsid w:val="007E54BD"/>
    <w:rsid w:val="007F27B3"/>
    <w:rsid w:val="007F38F5"/>
    <w:rsid w:val="007F512B"/>
    <w:rsid w:val="007F6013"/>
    <w:rsid w:val="00802C81"/>
    <w:rsid w:val="00820DA7"/>
    <w:rsid w:val="00826026"/>
    <w:rsid w:val="008464AB"/>
    <w:rsid w:val="00850A36"/>
    <w:rsid w:val="0085163A"/>
    <w:rsid w:val="00866952"/>
    <w:rsid w:val="00870C25"/>
    <w:rsid w:val="00884C10"/>
    <w:rsid w:val="0088536E"/>
    <w:rsid w:val="00886432"/>
    <w:rsid w:val="00896FEB"/>
    <w:rsid w:val="008A0ECD"/>
    <w:rsid w:val="008B79B1"/>
    <w:rsid w:val="008C1435"/>
    <w:rsid w:val="008E0CE0"/>
    <w:rsid w:val="00916F5F"/>
    <w:rsid w:val="00926958"/>
    <w:rsid w:val="00934979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75B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09CD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25598"/>
    <w:rsid w:val="00C355FB"/>
    <w:rsid w:val="00C42BB3"/>
    <w:rsid w:val="00C62224"/>
    <w:rsid w:val="00C734DD"/>
    <w:rsid w:val="00C75C6A"/>
    <w:rsid w:val="00C76E65"/>
    <w:rsid w:val="00C847E9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1084D"/>
    <w:rsid w:val="00E243B5"/>
    <w:rsid w:val="00E30D60"/>
    <w:rsid w:val="00E356A4"/>
    <w:rsid w:val="00E356E5"/>
    <w:rsid w:val="00E5182F"/>
    <w:rsid w:val="00E84223"/>
    <w:rsid w:val="00E85F3A"/>
    <w:rsid w:val="00E86C33"/>
    <w:rsid w:val="00E9363B"/>
    <w:rsid w:val="00E946D0"/>
    <w:rsid w:val="00E96E4B"/>
    <w:rsid w:val="00EA5287"/>
    <w:rsid w:val="00ED2A97"/>
    <w:rsid w:val="00F16416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891F-C630-4875-A158-DF3FA5F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Kaimo Puniste</dc:title>
  <dc:creator>kadip</dc:creator>
  <cp:lastModifiedBy>Tiiu Klement</cp:lastModifiedBy>
  <cp:revision>2</cp:revision>
  <cp:lastPrinted>2013-04-03T06:22:00Z</cp:lastPrinted>
  <dcterms:created xsi:type="dcterms:W3CDTF">2023-12-27T12:16:00Z</dcterms:created>
  <dcterms:modified xsi:type="dcterms:W3CDTF">2023-12-27T12:16:00Z</dcterms:modified>
</cp:coreProperties>
</file>