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1104345B" w:rsidR="006E4C89" w:rsidRPr="003A4297" w:rsidRDefault="002D4302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040B754" w:rsidR="006E4C89" w:rsidRPr="003A4297" w:rsidRDefault="00827ECD" w:rsidP="00B20A07">
            <w:r w:rsidRPr="00827ECD"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0E9B769E" w:rsidR="006E4C89" w:rsidRPr="003A4297" w:rsidRDefault="002D4302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79A7F29A" w:rsidR="006E4C89" w:rsidRPr="003A4297" w:rsidRDefault="007A0205">
            <w:pPr>
              <w:rPr>
                <w:b/>
              </w:rPr>
            </w:pPr>
            <w:r>
              <w:rPr>
                <w:b/>
              </w:rPr>
              <w:t>Roland Kesküla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5608F0DA" w:rsidR="006E4C89" w:rsidRPr="003A4297" w:rsidRDefault="00492B9F" w:rsidP="00D30D19">
            <w:r w:rsidRPr="003A4297">
              <w:t>Arengutoetuste osakond</w:t>
            </w:r>
            <w:r w:rsidR="00735734">
              <w:t xml:space="preserve">, </w:t>
            </w:r>
            <w:r w:rsidR="00D30D19">
              <w:t>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3FC3203A" w:rsidR="006E4C89" w:rsidRPr="003A4297" w:rsidRDefault="00BF1957" w:rsidP="00BF17AA">
            <w:r w:rsidRPr="00BF1957">
              <w:t>Euroopa Liidu ühise põllumajanduspoliitika abinõude teadus- ja koostöötoetuste valdkonna teenusejuht</w:t>
            </w:r>
          </w:p>
        </w:tc>
      </w:tr>
      <w:tr w:rsidR="006E4C89" w:rsidRPr="003A4297" w14:paraId="55D98B9A" w14:textId="77777777" w:rsidTr="00255835">
        <w:trPr>
          <w:trHeight w:val="307"/>
        </w:trPr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1F564736" w:rsidR="006E4C89" w:rsidRPr="0074282A" w:rsidRDefault="00827ECD" w:rsidP="00735734">
            <w:pPr>
              <w:rPr>
                <w:highlight w:val="yellow"/>
              </w:rPr>
            </w:pPr>
            <w:r w:rsidRPr="00827ECD"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52299A04" w:rsidR="006E4C89" w:rsidRPr="0074282A" w:rsidRDefault="00827ECD">
            <w:pPr>
              <w:rPr>
                <w:highlight w:val="yellow"/>
              </w:rPr>
            </w:pPr>
            <w:r w:rsidRPr="00827ECD"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3B12FE99" w:rsidR="006E4C89" w:rsidRPr="0074282A" w:rsidRDefault="00827ECD" w:rsidP="00BF17AA">
            <w:pPr>
              <w:rPr>
                <w:highlight w:val="yellow"/>
              </w:rPr>
            </w:pPr>
            <w:r w:rsidRPr="00827ECD">
              <w:t xml:space="preserve">Arengutoetuste osakonna menetlusbüroo arendusspetsialisti </w:t>
            </w:r>
            <w:r w:rsidR="007A0205">
              <w:t xml:space="preserve">ja peaspetsialisti </w:t>
            </w:r>
            <w:r w:rsidRPr="00827ECD">
              <w:t>ning Euroopa Liidu ühise põllumajanduspoliitika abinõude teadus- ja koostöötoetuste valdkonna teenusejuhti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827ECD" w:rsidRDefault="006F2406">
            <w:pPr>
              <w:pStyle w:val="Heading4"/>
              <w:rPr>
                <w:color w:val="auto"/>
              </w:rPr>
            </w:pPr>
            <w:r w:rsidRPr="00827ECD">
              <w:rPr>
                <w:color w:val="auto"/>
              </w:rPr>
              <w:t>Töökorralduse erikord</w:t>
            </w:r>
          </w:p>
        </w:tc>
        <w:tc>
          <w:tcPr>
            <w:tcW w:w="4261" w:type="dxa"/>
          </w:tcPr>
          <w:p w14:paraId="55D98BA5" w14:textId="3BC4C460" w:rsidR="006E4C89" w:rsidRPr="003A4297" w:rsidRDefault="00827ECD">
            <w:r w:rsidRPr="00827ECD">
              <w:t>Ei kohaldu</w:t>
            </w:r>
          </w:p>
        </w:tc>
      </w:tr>
    </w:tbl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DAB3D11" w14:textId="2AE0AC2F" w:rsidR="00827ECD" w:rsidRDefault="00827ECD" w:rsidP="00827ECD">
      <w:pPr>
        <w:ind w:left="-180"/>
        <w:jc w:val="both"/>
      </w:pPr>
      <w:r w:rsidRPr="00827ECD">
        <w:t>Arendusspetsialisti töö eesmärgiks</w:t>
      </w:r>
      <w:r>
        <w:t xml:space="preserve"> on</w:t>
      </w:r>
      <w:r w:rsidRPr="00827ECD">
        <w:t xml:space="preserve"> </w:t>
      </w:r>
      <w:r>
        <w:t xml:space="preserve">Euroopa Liidu ühise põllumajanduspoliitika abinõude, maaelu ja põllumajandusturu korraldamise riiklike abinõude meetmete </w:t>
      </w:r>
      <w:r w:rsidRPr="00827ECD">
        <w:t>arendustegevused selliselt, et meetmed on administreeritavad Maaelu Arengu toetuste süsteemis (edaspidi MATS) või menetlussüsteemis MAIT.</w:t>
      </w:r>
    </w:p>
    <w:p w14:paraId="376A0E68" w14:textId="77777777" w:rsidR="00827ECD" w:rsidRDefault="00827ECD" w:rsidP="00827ECD">
      <w:pPr>
        <w:ind w:left="-180"/>
        <w:jc w:val="both"/>
      </w:pPr>
    </w:p>
    <w:p w14:paraId="55D98BAB" w14:textId="701AE7DC" w:rsidR="006E4C89" w:rsidRPr="003A4297" w:rsidRDefault="00827ECD" w:rsidP="00827ECD">
      <w:pPr>
        <w:ind w:left="-180"/>
        <w:jc w:val="both"/>
      </w:pPr>
      <w:r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716"/>
      </w:tblGrid>
      <w:tr w:rsidR="006E4C89" w:rsidRPr="003A4297" w14:paraId="55D98BB3" w14:textId="77777777" w:rsidTr="00255835">
        <w:trPr>
          <w:trHeight w:val="140"/>
        </w:trPr>
        <w:tc>
          <w:tcPr>
            <w:tcW w:w="3996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716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255835">
        <w:trPr>
          <w:trHeight w:val="140"/>
        </w:trPr>
        <w:tc>
          <w:tcPr>
            <w:tcW w:w="3996" w:type="dxa"/>
          </w:tcPr>
          <w:p w14:paraId="383AD6F2" w14:textId="77777777" w:rsidR="00827ECD" w:rsidRDefault="00827ECD" w:rsidP="00827ECD">
            <w:r>
              <w:t>Arendustöö arengutoetuste osakonna</w:t>
            </w:r>
          </w:p>
          <w:p w14:paraId="55D98BB4" w14:textId="6B69F56C" w:rsidR="00A3504A" w:rsidRPr="003A4297" w:rsidRDefault="00827ECD" w:rsidP="009E7B71">
            <w:r>
              <w:t>meetmete administreerimise väljatöötamiseks</w:t>
            </w:r>
          </w:p>
        </w:tc>
        <w:tc>
          <w:tcPr>
            <w:tcW w:w="4716" w:type="dxa"/>
          </w:tcPr>
          <w:p w14:paraId="55A66280" w14:textId="23D57518" w:rsidR="00827ECD" w:rsidRDefault="00827ECD" w:rsidP="00827ECD">
            <w:pPr>
              <w:numPr>
                <w:ilvl w:val="0"/>
                <w:numId w:val="1"/>
              </w:numPr>
            </w:pPr>
            <w:r>
              <w:t>Lähtudes toetuste ajakavast on koostöös teen</w:t>
            </w:r>
            <w:r w:rsidR="009E7B71">
              <w:t>usejuhiga välja töötatud meetme</w:t>
            </w:r>
            <w:r>
              <w:t>plaan koos planeeritavate tähtaegadega. Kokkulepitud tähtaegadest on kinni peetud.</w:t>
            </w:r>
          </w:p>
          <w:p w14:paraId="345EB95F" w14:textId="083EA621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lastRenderedPageBreak/>
              <w:t xml:space="preserve">Koostöös ministeeriumiga on osaletud siseriikliku meetme määruse </w:t>
            </w:r>
            <w:r w:rsidRPr="00827ECD">
              <w:rPr>
                <w:color w:val="000000"/>
              </w:rPr>
              <w:t>väljatöötamisel. Meetme määrus on</w:t>
            </w:r>
            <w:r>
              <w:rPr>
                <w:color w:val="000000"/>
              </w:rPr>
              <w:t xml:space="preserve"> </w:t>
            </w:r>
            <w:r w:rsidRPr="00827ECD">
              <w:rPr>
                <w:color w:val="000000"/>
              </w:rPr>
              <w:t>vajadusel muudetud ja selle</w:t>
            </w:r>
            <w:r>
              <w:rPr>
                <w:color w:val="000000"/>
              </w:rPr>
              <w:t xml:space="preserve"> </w:t>
            </w:r>
            <w:r w:rsidRPr="00827ECD">
              <w:rPr>
                <w:color w:val="000000"/>
              </w:rPr>
              <w:t>jõustumisest on jäänud mõistlik aeg</w:t>
            </w:r>
            <w:r>
              <w:rPr>
                <w:color w:val="000000"/>
              </w:rPr>
              <w:t xml:space="preserve"> </w:t>
            </w:r>
            <w:r w:rsidRPr="00827ECD">
              <w:rPr>
                <w:color w:val="000000"/>
              </w:rPr>
              <w:t>muudatuste sisseviimiseks MATS</w:t>
            </w:r>
            <w:r w:rsidR="009E7B71">
              <w:rPr>
                <w:color w:val="000000"/>
              </w:rPr>
              <w:t xml:space="preserve"> või MAIT</w:t>
            </w:r>
            <w:r>
              <w:rPr>
                <w:color w:val="000000"/>
              </w:rPr>
              <w:t xml:space="preserve"> </w:t>
            </w:r>
            <w:r w:rsidRPr="00827ECD">
              <w:rPr>
                <w:color w:val="000000"/>
              </w:rPr>
              <w:t>menetlussüsteemis ja tööjuhistes.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Infovahetus määruse valmimisest on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 xml:space="preserve">kajastatud vastavas </w:t>
            </w:r>
            <w:proofErr w:type="spellStart"/>
            <w:r w:rsidRPr="00BD740F">
              <w:rPr>
                <w:color w:val="000000"/>
              </w:rPr>
              <w:t>Confluence’i</w:t>
            </w:r>
            <w:proofErr w:type="spellEnd"/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leheruumis. Lähtuvalt määruse</w:t>
            </w:r>
            <w:r w:rsidR="00BD740F">
              <w:rPr>
                <w:color w:val="000000"/>
              </w:rPr>
              <w:t xml:space="preserve"> muudatustest on meetme </w:t>
            </w:r>
            <w:r w:rsidRPr="00BD740F">
              <w:rPr>
                <w:color w:val="000000"/>
              </w:rPr>
              <w:t>arendamiseks</w:t>
            </w:r>
            <w:r w:rsidR="00BD740F">
              <w:rPr>
                <w:color w:val="000000"/>
              </w:rPr>
              <w:t xml:space="preserve"> vajalik sisend </w:t>
            </w:r>
            <w:r w:rsidRPr="00BD740F">
              <w:rPr>
                <w:color w:val="000000"/>
              </w:rPr>
              <w:t>osapooltelt kogutud ja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õigeaegselt esitatud.</w:t>
            </w:r>
          </w:p>
          <w:p w14:paraId="3A3ACD48" w14:textId="73B68E75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Vajadusel on läbi viidud meetme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avakoosolek ja seotud osapooltele on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meetme üldist skeemi ja muudatusi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tutvustatud.</w:t>
            </w:r>
          </w:p>
          <w:p w14:paraId="57DEB6B5" w14:textId="2C1B4754" w:rsidR="00827ECD" w:rsidRPr="00BD740F" w:rsidRDefault="00BD740F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Meetme stsenaariumis on </w:t>
            </w:r>
            <w:r w:rsidR="00827ECD" w:rsidRPr="00827ECD">
              <w:rPr>
                <w:color w:val="000000"/>
              </w:rPr>
              <w:t>õigusaktidest,</w:t>
            </w:r>
            <w:r>
              <w:rPr>
                <w:color w:val="000000"/>
              </w:rPr>
              <w:t xml:space="preserve"> </w:t>
            </w:r>
            <w:r w:rsidR="00827ECD" w:rsidRPr="00BD740F">
              <w:rPr>
                <w:color w:val="000000"/>
              </w:rPr>
              <w:t>standarditest ja tööprotsessidest</w:t>
            </w:r>
            <w:r>
              <w:rPr>
                <w:color w:val="000000"/>
              </w:rPr>
              <w:t xml:space="preserve"> tulenevad muudatused </w:t>
            </w:r>
            <w:r w:rsidR="00827ECD" w:rsidRPr="00BD740F">
              <w:rPr>
                <w:color w:val="000000"/>
              </w:rPr>
              <w:t>sisse viidud</w:t>
            </w:r>
            <w:r>
              <w:rPr>
                <w:color w:val="000000"/>
              </w:rPr>
              <w:t xml:space="preserve"> vastavalt meetme </w:t>
            </w:r>
            <w:r w:rsidR="00827ECD" w:rsidRPr="00BD740F">
              <w:rPr>
                <w:color w:val="000000"/>
              </w:rPr>
              <w:t>ajakavale.</w:t>
            </w:r>
          </w:p>
          <w:p w14:paraId="1F664B07" w14:textId="6054A18B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Vastavalt meetme plaanile on e-PRIA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tellimus esitatud.</w:t>
            </w:r>
          </w:p>
          <w:p w14:paraId="768A06E5" w14:textId="3A658B26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Vastavalt meetme plaanile on esitatud</w:t>
            </w:r>
            <w:r w:rsidR="00BD740F">
              <w:rPr>
                <w:color w:val="000000"/>
              </w:rPr>
              <w:t xml:space="preserve"> infotehnoloogia osakonnale </w:t>
            </w:r>
            <w:r w:rsidRPr="00BD740F">
              <w:rPr>
                <w:color w:val="000000"/>
              </w:rPr>
              <w:t>muudatuste</w:t>
            </w:r>
            <w:r w:rsidR="00BD740F">
              <w:rPr>
                <w:color w:val="000000"/>
              </w:rPr>
              <w:t xml:space="preserve"> sisend, nõuete seadistamise </w:t>
            </w:r>
            <w:r w:rsidRPr="00BD740F">
              <w:rPr>
                <w:color w:val="000000"/>
              </w:rPr>
              <w:t>alustabelid</w:t>
            </w:r>
            <w:r w:rsidR="00BD740F">
              <w:rPr>
                <w:color w:val="000000"/>
              </w:rPr>
              <w:t xml:space="preserve"> või on seadistused tehtud </w:t>
            </w:r>
            <w:r w:rsidRPr="00BD740F">
              <w:rPr>
                <w:color w:val="000000"/>
              </w:rPr>
              <w:t>vastava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sisestusmooduli kaudu.</w:t>
            </w:r>
          </w:p>
          <w:p w14:paraId="0AE81E46" w14:textId="31112AF1" w:rsidR="00827ECD" w:rsidRPr="00BD740F" w:rsidRDefault="00827ECD" w:rsidP="00BD740F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BD740F">
              <w:rPr>
                <w:color w:val="000000"/>
              </w:rPr>
              <w:t>Vastavalt testijuhi testplaanile on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menetlussüsteemi testimisel osaletud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ning parandusettepanekud ja vead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raporteeritud.</w:t>
            </w:r>
          </w:p>
          <w:p w14:paraId="04FD026E" w14:textId="4A0EE5E2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Vastavalt meetme plaanile on valminud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meetme administreerimise protseduur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(sh üle vaadatud terminid) ja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abimaterjalid taotlejatele.</w:t>
            </w:r>
          </w:p>
          <w:p w14:paraId="072A20A1" w14:textId="2F6EAF7D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Meetmeprotsess on välja töötatud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optimaalselt, kasutades selleks järjest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parandatud standardeid.</w:t>
            </w:r>
          </w:p>
          <w:p w14:paraId="3F63F726" w14:textId="23A703B0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Osaletud on menetlusega seotud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standardite parendamisega seotud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töökooso</w:t>
            </w:r>
            <w:r w:rsidR="009E7B71">
              <w:rPr>
                <w:color w:val="000000"/>
              </w:rPr>
              <w:t>lekutel</w:t>
            </w:r>
          </w:p>
          <w:p w14:paraId="659B6247" w14:textId="505BB4F1" w:rsidR="00827ECD" w:rsidRPr="00BD740F" w:rsidRDefault="00BD740F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Vastavalt meetme plaanile on </w:t>
            </w:r>
            <w:r w:rsidR="00827ECD" w:rsidRPr="00827ECD">
              <w:rPr>
                <w:color w:val="000000"/>
              </w:rPr>
              <w:t>koostatud</w:t>
            </w:r>
            <w:r>
              <w:rPr>
                <w:color w:val="000000"/>
              </w:rPr>
              <w:t xml:space="preserve"> </w:t>
            </w:r>
            <w:r w:rsidR="00827ECD" w:rsidRPr="00BD740F">
              <w:rPr>
                <w:color w:val="000000"/>
              </w:rPr>
              <w:t xml:space="preserve">koolituskava (nii </w:t>
            </w:r>
            <w:proofErr w:type="spellStart"/>
            <w:r w:rsidR="00827ECD" w:rsidRPr="00BD740F">
              <w:rPr>
                <w:color w:val="000000"/>
              </w:rPr>
              <w:t>sise</w:t>
            </w:r>
            <w:proofErr w:type="spellEnd"/>
            <w:r w:rsidR="00827ECD" w:rsidRPr="00BD740F">
              <w:rPr>
                <w:color w:val="000000"/>
              </w:rPr>
              <w:t>- kui</w:t>
            </w:r>
            <w:r>
              <w:rPr>
                <w:color w:val="000000"/>
              </w:rPr>
              <w:t xml:space="preserve"> </w:t>
            </w:r>
            <w:proofErr w:type="spellStart"/>
            <w:r w:rsidR="00827ECD" w:rsidRPr="00BD740F">
              <w:rPr>
                <w:color w:val="000000"/>
              </w:rPr>
              <w:t>välisklientidele</w:t>
            </w:r>
            <w:proofErr w:type="spellEnd"/>
            <w:r w:rsidR="00827ECD" w:rsidRPr="00BD740F">
              <w:rPr>
                <w:color w:val="000000"/>
              </w:rPr>
              <w:t>) ja koolitused on läbi</w:t>
            </w:r>
            <w:r>
              <w:rPr>
                <w:color w:val="000000"/>
              </w:rPr>
              <w:t xml:space="preserve"> </w:t>
            </w:r>
            <w:r w:rsidR="009E7B71">
              <w:rPr>
                <w:color w:val="000000"/>
              </w:rPr>
              <w:t>viidud</w:t>
            </w:r>
          </w:p>
          <w:p w14:paraId="55D98BB9" w14:textId="40A3C4BE" w:rsidR="004A5F63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Meetmega seotud nõuded on käsitletud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vastavalt „Õigusloomes osalemise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korrale“ ja koostatud on</w:t>
            </w:r>
            <w:r w:rsidR="00BD740F">
              <w:rPr>
                <w:color w:val="000000"/>
              </w:rPr>
              <w:t xml:space="preserve"> </w:t>
            </w:r>
            <w:r w:rsidR="00BD740F" w:rsidRPr="00BD740F">
              <w:rPr>
                <w:color w:val="000000"/>
              </w:rPr>
              <w:t>vastavustabelid.</w:t>
            </w:r>
          </w:p>
        </w:tc>
      </w:tr>
      <w:tr w:rsidR="006C77CE" w:rsidRPr="003A4297" w14:paraId="55D98BBE" w14:textId="77777777" w:rsidTr="00255835">
        <w:trPr>
          <w:trHeight w:val="553"/>
        </w:trPr>
        <w:tc>
          <w:tcPr>
            <w:tcW w:w="3996" w:type="dxa"/>
          </w:tcPr>
          <w:p w14:paraId="55D98BBB" w14:textId="26ED467C" w:rsidR="006C77CE" w:rsidRPr="00686DB3" w:rsidRDefault="009E7B71">
            <w:r w:rsidRPr="009E7B71">
              <w:lastRenderedPageBreak/>
              <w:t>Auditites osalemine</w:t>
            </w:r>
          </w:p>
        </w:tc>
        <w:tc>
          <w:tcPr>
            <w:tcW w:w="4716" w:type="dxa"/>
          </w:tcPr>
          <w:p w14:paraId="55D98BBD" w14:textId="1ED57DC3" w:rsidR="00FB60F1" w:rsidRPr="0027764A" w:rsidRDefault="009E7B71" w:rsidP="009E7B71">
            <w:pPr>
              <w:pStyle w:val="ListParagraph"/>
              <w:numPr>
                <w:ilvl w:val="0"/>
                <w:numId w:val="14"/>
              </w:numPr>
            </w:pPr>
            <w:r w:rsidRPr="009E7B71">
              <w:t>Vajadusel on osaletud auditeerimise protsessis</w:t>
            </w:r>
          </w:p>
        </w:tc>
      </w:tr>
      <w:tr w:rsidR="00BD740F" w:rsidRPr="003A4297" w14:paraId="45508DB6" w14:textId="77777777" w:rsidTr="00255835">
        <w:trPr>
          <w:trHeight w:val="1119"/>
        </w:trPr>
        <w:tc>
          <w:tcPr>
            <w:tcW w:w="3996" w:type="dxa"/>
            <w:tcBorders>
              <w:bottom w:val="single" w:sz="4" w:space="0" w:color="auto"/>
            </w:tcBorders>
          </w:tcPr>
          <w:p w14:paraId="781DEEF2" w14:textId="5CECAE28" w:rsidR="00BD740F" w:rsidRDefault="009E7B71">
            <w:proofErr w:type="spellStart"/>
            <w:r w:rsidRPr="009E7B71">
              <w:t>MATS-iga</w:t>
            </w:r>
            <w:proofErr w:type="spellEnd"/>
            <w:r w:rsidRPr="009E7B71">
              <w:t xml:space="preserve"> ja e-PRIA-</w:t>
            </w:r>
            <w:proofErr w:type="spellStart"/>
            <w:r w:rsidRPr="009E7B71">
              <w:t>ga</w:t>
            </w:r>
            <w:proofErr w:type="spellEnd"/>
            <w:r w:rsidRPr="009E7B71">
              <w:t xml:space="preserve"> seotud koolituste läbiviimine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4769AE99" w14:textId="434F0695" w:rsidR="009E7B71" w:rsidRDefault="009E7B71" w:rsidP="009E7B71">
            <w:pPr>
              <w:pStyle w:val="ListParagraph"/>
              <w:numPr>
                <w:ilvl w:val="0"/>
                <w:numId w:val="14"/>
              </w:numPr>
            </w:pPr>
            <w:r>
              <w:t>Vajalikud koolitused on läbiviidud;</w:t>
            </w:r>
          </w:p>
          <w:p w14:paraId="3C5C048B" w14:textId="734340B1" w:rsidR="009E7B71" w:rsidRDefault="009E7B71" w:rsidP="009E7B71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MATS-i</w:t>
            </w:r>
            <w:proofErr w:type="spellEnd"/>
            <w:r>
              <w:t xml:space="preserve"> ja e-PRIA kasutajad on koolitatud;</w:t>
            </w:r>
          </w:p>
          <w:p w14:paraId="2F64B3C0" w14:textId="312714A0" w:rsidR="00BD740F" w:rsidRDefault="009E7B71" w:rsidP="009E7B71">
            <w:pPr>
              <w:pStyle w:val="ListParagraph"/>
              <w:numPr>
                <w:ilvl w:val="0"/>
                <w:numId w:val="14"/>
              </w:numPr>
            </w:pPr>
            <w:r>
              <w:t>Koolitused on läbiviidud tähtaegselt.</w:t>
            </w:r>
          </w:p>
        </w:tc>
      </w:tr>
      <w:tr w:rsidR="00686DB3" w:rsidRPr="003A4297" w14:paraId="55D98BC1" w14:textId="77777777" w:rsidTr="00255835">
        <w:trPr>
          <w:trHeight w:val="3003"/>
        </w:trPr>
        <w:tc>
          <w:tcPr>
            <w:tcW w:w="3996" w:type="dxa"/>
            <w:tcBorders>
              <w:bottom w:val="single" w:sz="4" w:space="0" w:color="auto"/>
            </w:tcBorders>
          </w:tcPr>
          <w:p w14:paraId="55D98BBF" w14:textId="78FF36F7" w:rsidR="00686DB3" w:rsidRPr="00BD740F" w:rsidRDefault="009E7B71">
            <w:r w:rsidRPr="009E7B71">
              <w:t>Informatsiooni andmine ja toe pakkumine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66E94339" w14:textId="77777777" w:rsidR="009E7B71" w:rsidRPr="00BD740F" w:rsidRDefault="009E7B71" w:rsidP="009E7B71">
            <w:pPr>
              <w:numPr>
                <w:ilvl w:val="0"/>
                <w:numId w:val="1"/>
              </w:numPr>
            </w:pPr>
            <w:r w:rsidRPr="00BD740F">
              <w:t>Statistika ja ülevaated on koostatud audititeks, päringutele on vastatud;</w:t>
            </w:r>
          </w:p>
          <w:p w14:paraId="1DC4D3FA" w14:textId="77777777" w:rsidR="009E7B71" w:rsidRPr="00BD740F" w:rsidRDefault="009E7B71" w:rsidP="009E7B71">
            <w:pPr>
              <w:numPr>
                <w:ilvl w:val="0"/>
                <w:numId w:val="1"/>
              </w:numPr>
            </w:pPr>
            <w:r w:rsidRPr="00BD740F">
              <w:t xml:space="preserve">MATS ja e-PRIA </w:t>
            </w:r>
            <w:proofErr w:type="spellStart"/>
            <w:r w:rsidRPr="00BD740F">
              <w:t>kautajatele</w:t>
            </w:r>
            <w:proofErr w:type="spellEnd"/>
            <w:r w:rsidRPr="00BD740F">
              <w:t xml:space="preserve"> on tugi ja juhendamine tagatud;</w:t>
            </w:r>
          </w:p>
          <w:p w14:paraId="4B7A7B94" w14:textId="77777777" w:rsidR="00974054" w:rsidRDefault="009E7B71" w:rsidP="00974054">
            <w:pPr>
              <w:numPr>
                <w:ilvl w:val="0"/>
                <w:numId w:val="1"/>
              </w:numPr>
            </w:pPr>
            <w:r w:rsidRPr="00BD740F">
              <w:t>Vajalik info jõuab operatiivselt kõikide osapoolteni;</w:t>
            </w:r>
          </w:p>
          <w:p w14:paraId="55D98BC0" w14:textId="5681C54A" w:rsidR="00686DB3" w:rsidRPr="00BD740F" w:rsidRDefault="009E7B71" w:rsidP="00974054">
            <w:pPr>
              <w:numPr>
                <w:ilvl w:val="0"/>
                <w:numId w:val="1"/>
              </w:numPr>
            </w:pPr>
            <w:r w:rsidRPr="00BD740F">
              <w:t>Teenistuja on kinni pidanud konfidentsiaalsuse nõudest ja ei ole väljastanud oma töö käigus saadud informatsiooni asjasse mittepuutuvatele isikutele.</w:t>
            </w:r>
          </w:p>
        </w:tc>
      </w:tr>
      <w:tr w:rsidR="00686DB3" w:rsidRPr="003A4297" w14:paraId="55D98BC5" w14:textId="77777777" w:rsidTr="00255835">
        <w:trPr>
          <w:trHeight w:val="270"/>
        </w:trPr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98BC2" w14:textId="7D3E577F" w:rsidR="00686DB3" w:rsidRPr="00BD740F" w:rsidRDefault="00686DB3"/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98BC4" w14:textId="7A51C20F" w:rsidR="00686DB3" w:rsidRPr="00BD740F" w:rsidRDefault="00686DB3" w:rsidP="009E7B71">
            <w:pPr>
              <w:ind w:left="360"/>
            </w:pPr>
          </w:p>
        </w:tc>
      </w:tr>
    </w:tbl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2D4302" w:rsidRDefault="006E4C89">
      <w:pPr>
        <w:jc w:val="center"/>
        <w:rPr>
          <w:b/>
          <w:b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43D3285" w:rsidR="001518E3" w:rsidRPr="003A4297" w:rsidRDefault="00AA55BA" w:rsidP="00BD740F">
            <w:pPr>
              <w:numPr>
                <w:ilvl w:val="0"/>
                <w:numId w:val="8"/>
              </w:numPr>
            </w:pPr>
            <w:proofErr w:type="spellStart"/>
            <w:r>
              <w:t>Kk</w:t>
            </w:r>
            <w:r w:rsidR="00BD740F" w:rsidRPr="00BD740F">
              <w:t>sk</w:t>
            </w:r>
            <w:proofErr w:type="spellEnd"/>
            <w:r w:rsidR="00BD740F" w:rsidRPr="00BD740F">
              <w:t>-, keskeri- või kõrgharidus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7705D325" w:rsidR="001518E3" w:rsidRPr="003A4297" w:rsidRDefault="00AA55BA" w:rsidP="001518E3">
            <w:pPr>
              <w:numPr>
                <w:ilvl w:val="0"/>
                <w:numId w:val="8"/>
              </w:numPr>
            </w:pPr>
            <w:r w:rsidRPr="00AA55BA"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52E01F8C" w:rsidR="001518E3" w:rsidRPr="001518E3" w:rsidRDefault="001518E3" w:rsidP="00255835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35822143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0767D291" w:rsidR="00AA55BA" w:rsidRPr="003A4297" w:rsidRDefault="00AA55BA" w:rsidP="00AA55BA">
            <w:pPr>
              <w:numPr>
                <w:ilvl w:val="0"/>
                <w:numId w:val="6"/>
              </w:numPr>
            </w:pPr>
            <w:r>
              <w:t>a</w:t>
            </w:r>
            <w:r w:rsidRPr="00AA55BA">
              <w:t>nalüüsivõime ja üldistamisvõime</w:t>
            </w:r>
          </w:p>
        </w:tc>
      </w:tr>
    </w:tbl>
    <w:p w14:paraId="55D98C2C" w14:textId="680AFE9A" w:rsidR="00532669" w:rsidRDefault="00532669" w:rsidP="00532669"/>
    <w:p w14:paraId="08D65222" w14:textId="77777777" w:rsidR="002D4302" w:rsidRDefault="002D4302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AA55BA"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285E0A83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AA55BA">
        <w:t>Nimi</w:t>
      </w:r>
      <w:r w:rsidR="00555050" w:rsidRPr="00AA55BA">
        <w:t>:</w:t>
      </w:r>
      <w:r w:rsidR="006E4C89" w:rsidRPr="00AA55BA">
        <w:t xml:space="preserve"> </w:t>
      </w:r>
      <w:r w:rsidR="00555050" w:rsidRPr="00AA55BA">
        <w:t xml:space="preserve"> </w:t>
      </w:r>
      <w:r w:rsidR="00AA55BA" w:rsidRPr="00AA55BA">
        <w:t>Kersti Pille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AA55BA"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1D6F8EFF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AA55BA">
        <w:t>Nimi</w:t>
      </w:r>
      <w:r w:rsidR="00555050" w:rsidRPr="00AA55BA">
        <w:t xml:space="preserve">: </w:t>
      </w:r>
      <w:r w:rsidR="007A0205">
        <w:t>Roland Kesküla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AA55BA"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AA55BA">
        <w:t>Allkiri</w:t>
      </w:r>
      <w:r w:rsidR="00555050" w:rsidRPr="00AA55BA">
        <w:t xml:space="preserve"> (allkirjastatud digitaalselt)</w:t>
      </w:r>
      <w:r w:rsidR="00555050" w:rsidRPr="00AA55BA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E817" w14:textId="77777777" w:rsidR="00431AB1" w:rsidRDefault="00431AB1">
      <w:r>
        <w:separator/>
      </w:r>
    </w:p>
  </w:endnote>
  <w:endnote w:type="continuationSeparator" w:id="0">
    <w:p w14:paraId="4A201091" w14:textId="77777777" w:rsidR="00431AB1" w:rsidRDefault="0043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6CE5" w14:textId="77777777" w:rsidR="00431AB1" w:rsidRDefault="00431AB1">
      <w:r>
        <w:separator/>
      </w:r>
    </w:p>
  </w:footnote>
  <w:footnote w:type="continuationSeparator" w:id="0">
    <w:p w14:paraId="7F24527E" w14:textId="77777777" w:rsidR="00431AB1" w:rsidRDefault="0043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1EAF1DB9" w:rsidR="00504A9B" w:rsidRDefault="007A0205">
    <w:pPr>
      <w:pStyle w:val="Header"/>
      <w:rPr>
        <w:lang w:val="et-EE"/>
      </w:rPr>
    </w:pPr>
    <w:r>
      <w:rPr>
        <w:lang w:val="et-EE"/>
      </w:rPr>
      <w:t>Roland Kesküla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27A94"/>
    <w:multiLevelType w:val="hybridMultilevel"/>
    <w:tmpl w:val="419EC95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E3ECE"/>
    <w:rsid w:val="001F2DCD"/>
    <w:rsid w:val="001F5FEE"/>
    <w:rsid w:val="00214E0D"/>
    <w:rsid w:val="00242843"/>
    <w:rsid w:val="0024285A"/>
    <w:rsid w:val="00255835"/>
    <w:rsid w:val="0027764A"/>
    <w:rsid w:val="002777D9"/>
    <w:rsid w:val="00280241"/>
    <w:rsid w:val="002B63D2"/>
    <w:rsid w:val="002D430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E6B99"/>
    <w:rsid w:val="003F1534"/>
    <w:rsid w:val="00426CCF"/>
    <w:rsid w:val="00431AB1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0FDD"/>
    <w:rsid w:val="00504A9B"/>
    <w:rsid w:val="00504D93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0205"/>
    <w:rsid w:val="007A3BD7"/>
    <w:rsid w:val="007B2CA6"/>
    <w:rsid w:val="007B46CE"/>
    <w:rsid w:val="007C7505"/>
    <w:rsid w:val="007D2FDB"/>
    <w:rsid w:val="007E54BD"/>
    <w:rsid w:val="007F38F5"/>
    <w:rsid w:val="007F6013"/>
    <w:rsid w:val="00802C81"/>
    <w:rsid w:val="00820DA7"/>
    <w:rsid w:val="00826026"/>
    <w:rsid w:val="00827ECD"/>
    <w:rsid w:val="008464AB"/>
    <w:rsid w:val="00850A36"/>
    <w:rsid w:val="0085163A"/>
    <w:rsid w:val="00866952"/>
    <w:rsid w:val="00884C10"/>
    <w:rsid w:val="008851A8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74054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E7B71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A55BA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C4B11"/>
    <w:rsid w:val="00BD35F2"/>
    <w:rsid w:val="00BD740F"/>
    <w:rsid w:val="00BD7431"/>
    <w:rsid w:val="00BD79A7"/>
    <w:rsid w:val="00BE3043"/>
    <w:rsid w:val="00BE5D70"/>
    <w:rsid w:val="00BF17AA"/>
    <w:rsid w:val="00BF1957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30D19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styleId="ListParagraph">
    <w:name w:val="List Paragraph"/>
    <w:basedOn w:val="Normal"/>
    <w:uiPriority w:val="34"/>
    <w:qFormat/>
    <w:rsid w:val="00BD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3C6F-81EA-45EB-A7C4-3B25958C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Kairi Rosenthal</vt:lpstr>
    </vt:vector>
  </TitlesOfParts>
  <Company>PRIA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Roland Kesküla</dc:title>
  <dc:creator>kadip</dc:creator>
  <cp:lastModifiedBy>Tiiu Klement</cp:lastModifiedBy>
  <cp:revision>3</cp:revision>
  <cp:lastPrinted>2013-04-03T06:22:00Z</cp:lastPrinted>
  <dcterms:created xsi:type="dcterms:W3CDTF">2023-08-15T13:21:00Z</dcterms:created>
  <dcterms:modified xsi:type="dcterms:W3CDTF">2023-08-15T14:45:00Z</dcterms:modified>
</cp:coreProperties>
</file>