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Pr="00592087" w:rsidRDefault="00592087" w:rsidP="00592087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Väikepõllumajandustootja toetust</w:t>
      </w:r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Pr="00592087" w:rsidRDefault="001F642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5" w:history="1">
        <w:r w:rsidR="00AE35C8" w:rsidRPr="00592087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 w:rsidRPr="00592087">
        <w:rPr>
          <w:sz w:val="24"/>
          <w:szCs w:val="24"/>
        </w:rPr>
        <w:t>, 17. detsembri 2013,</w:t>
      </w:r>
      <w:r w:rsidR="00AE35C8" w:rsidRPr="00592087">
        <w:rPr>
          <w:spacing w:val="-17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ühise põllumajanduspoliitika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rahastamise,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haldamise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ja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seire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kohta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ning</w:t>
      </w:r>
      <w:r w:rsidR="00AE35C8" w:rsidRPr="00592087">
        <w:rPr>
          <w:spacing w:val="-12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millega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tunnistatakse kehtetuks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nõukogu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määrused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(EMÜ)</w:t>
      </w:r>
      <w:r w:rsidR="00AE35C8" w:rsidRPr="00592087">
        <w:rPr>
          <w:spacing w:val="-7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352/78,</w:t>
      </w:r>
      <w:r w:rsidR="00AE35C8" w:rsidRPr="00592087">
        <w:rPr>
          <w:spacing w:val="-6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165/94,</w:t>
      </w:r>
      <w:r w:rsidR="00AE35C8" w:rsidRPr="00592087">
        <w:rPr>
          <w:spacing w:val="-6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2799/98,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 nr 814/2000, (EÜ) nr 1290/2005 ja (EÜ) nr</w:t>
      </w:r>
      <w:r w:rsidR="00AE35C8" w:rsidRPr="00592087">
        <w:rPr>
          <w:spacing w:val="-5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485/2008;</w:t>
      </w:r>
    </w:p>
    <w:p w:rsidR="00471226" w:rsidRPr="00592087" w:rsidRDefault="001F642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tgtFrame="_blank" w:history="1">
        <w:r w:rsidR="00471226" w:rsidRPr="00592087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Euroopa Parlamendi ja nõukogu määrus (EL) nr 1307/2013</w:t>
        </w:r>
      </w:hyperlink>
      <w:r w:rsidR="00471226" w:rsidRPr="00592087">
        <w:rPr>
          <w:color w:val="444444"/>
          <w:sz w:val="24"/>
          <w:szCs w:val="24"/>
          <w:shd w:val="clear" w:color="auto" w:fill="FFFFFF"/>
        </w:rPr>
        <w:t xml:space="preserve">, </w:t>
      </w:r>
      <w:r w:rsidR="00471226" w:rsidRPr="00592087">
        <w:rPr>
          <w:sz w:val="24"/>
          <w:szCs w:val="24"/>
          <w:shd w:val="clear" w:color="auto" w:fill="FFFFFF"/>
        </w:rPr>
        <w:t>millega kehtestatakse ühise põllumajanduspoliitika raames toetuskavade alusel põllumajandustootjatele makstavate otsetoetuste eeskirjad ning tunnistatakse kehtetuks nõukogu määrused (EÜ) nr 637/2008 ja (EÜ) nr 73/2009;</w:t>
      </w:r>
    </w:p>
    <w:p w:rsidR="00AE35C8" w:rsidRPr="00592087" w:rsidRDefault="001F642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7" w:history="1">
        <w:r w:rsidR="00AE35C8" w:rsidRPr="00592087"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E35C8" w:rsidRPr="00592087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bookmarkStart w:id="1" w:name="_GoBack"/>
      <w:bookmarkEnd w:id="1"/>
      <w:r w:rsidR="00AE35C8" w:rsidRPr="00592087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592087">
        <w:rPr>
          <w:spacing w:val="-15"/>
          <w:sz w:val="24"/>
          <w:szCs w:val="24"/>
        </w:rPr>
        <w:t xml:space="preserve"> </w:t>
      </w:r>
      <w:r w:rsidR="00D7292E" w:rsidRPr="00592087">
        <w:rPr>
          <w:sz w:val="24"/>
          <w:szCs w:val="24"/>
        </w:rPr>
        <w:t>vastavusega.</w:t>
      </w:r>
    </w:p>
    <w:p w:rsidR="00AE35C8" w:rsidRPr="00592087" w:rsidRDefault="001F6427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8" w:history="1">
        <w:r w:rsidR="00AE35C8" w:rsidRPr="00592087">
          <w:rPr>
            <w:rStyle w:val="Hyperlink"/>
            <w:sz w:val="24"/>
            <w:szCs w:val="24"/>
          </w:rPr>
          <w:t>Euroopa Liidu ühise põllumajanduspoliitika rakendamise seadus</w:t>
        </w:r>
      </w:hyperlink>
      <w:r w:rsidR="00AE35C8" w:rsidRPr="00592087">
        <w:rPr>
          <w:sz w:val="24"/>
          <w:szCs w:val="24"/>
        </w:rPr>
        <w:t>;</w:t>
      </w:r>
    </w:p>
    <w:p w:rsidR="00B9512A" w:rsidRPr="00592087" w:rsidRDefault="00B9512A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Maaeluministri 17. aprilli 2015. a määrus nr 32 „</w:t>
      </w:r>
      <w:hyperlink r:id="rId9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Otsetoetuste saamise üldised nõuded, ühtne pindalatoetus, kliima- ja keskkonnatoetus ning noore põllumajandustootja toetus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592087" w:rsidRPr="00592087" w:rsidRDefault="00592087" w:rsidP="0059208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Põllumajandusministri 14. jaanuari 2015. a määrus nr 4 “Maa heas põllumajandus- ja keskkonnaseisundis hoidmise nõuded”,</w:t>
      </w:r>
      <w:r>
        <w:rPr>
          <w:spacing w:val="-7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eastAsia="Calibri"/>
            <w:sz w:val="24"/>
            <w:szCs w:val="24"/>
          </w:rPr>
          <w:t>https://www.riigiteataja.ee/akt/126022016017</w:t>
        </w:r>
      </w:hyperlink>
    </w:p>
    <w:p w:rsidR="00422C49" w:rsidRPr="00471226" w:rsidRDefault="001F6427" w:rsidP="00F01B67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11" w:history="1"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r w:rsidR="00D7292E">
        <w:rPr>
          <w:rStyle w:val="Hyperlink"/>
          <w:rFonts w:eastAsia="Calibri"/>
          <w:sz w:val="24"/>
          <w:szCs w:val="24"/>
          <w:lang w:val="en-US"/>
        </w:rPr>
        <w:t>.</w:t>
      </w:r>
    </w:p>
    <w:sectPr w:rsidR="00422C49" w:rsidRPr="0047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93EC6"/>
    <w:rsid w:val="000E2BB3"/>
    <w:rsid w:val="00161F46"/>
    <w:rsid w:val="001F6427"/>
    <w:rsid w:val="002079F8"/>
    <w:rsid w:val="00254FD0"/>
    <w:rsid w:val="0026439B"/>
    <w:rsid w:val="002F7B26"/>
    <w:rsid w:val="00406F9C"/>
    <w:rsid w:val="00422C49"/>
    <w:rsid w:val="00471226"/>
    <w:rsid w:val="00483D1E"/>
    <w:rsid w:val="00491A91"/>
    <w:rsid w:val="005113AE"/>
    <w:rsid w:val="005456C3"/>
    <w:rsid w:val="00545BB4"/>
    <w:rsid w:val="00592087"/>
    <w:rsid w:val="00642D3F"/>
    <w:rsid w:val="00646615"/>
    <w:rsid w:val="00782E70"/>
    <w:rsid w:val="0084611A"/>
    <w:rsid w:val="00887D0E"/>
    <w:rsid w:val="008C0BB2"/>
    <w:rsid w:val="008C2457"/>
    <w:rsid w:val="009A5ACC"/>
    <w:rsid w:val="00AD5654"/>
    <w:rsid w:val="00AE35C8"/>
    <w:rsid w:val="00B85BC1"/>
    <w:rsid w:val="00B9512A"/>
    <w:rsid w:val="00BE7056"/>
    <w:rsid w:val="00C4652A"/>
    <w:rsid w:val="00C5205B"/>
    <w:rsid w:val="00C90C9D"/>
    <w:rsid w:val="00D2784C"/>
    <w:rsid w:val="00D54056"/>
    <w:rsid w:val="00D63663"/>
    <w:rsid w:val="00D7292E"/>
    <w:rsid w:val="00D87C92"/>
    <w:rsid w:val="00D94C34"/>
    <w:rsid w:val="00F01B67"/>
    <w:rsid w:val="00F069EF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9050?leiaKeh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T/TXT/?uri=CELEX:02014R0809-202104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7-20220101" TargetMode="External"/><Relationship Id="rId11" Type="http://schemas.openxmlformats.org/officeDocument/2006/relationships/hyperlink" Target="https://www.riigiteataja.ee/akt/123022011008?leiaKehtiv" TargetMode="External"/><Relationship Id="rId5" Type="http://schemas.openxmlformats.org/officeDocument/2006/relationships/hyperlink" Target="https://eur-lex.europa.eu/legal-content/ET/TXT/?uri=CELEX:02013R1306-20201229" TargetMode="External"/><Relationship Id="rId10" Type="http://schemas.openxmlformats.org/officeDocument/2006/relationships/hyperlink" Target="https://www.riigiteataja.ee/akt/126022016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9122018015?leiaKehtiv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Valmi Vassa</cp:lastModifiedBy>
  <cp:revision>5</cp:revision>
  <dcterms:created xsi:type="dcterms:W3CDTF">2022-03-24T11:24:00Z</dcterms:created>
  <dcterms:modified xsi:type="dcterms:W3CDTF">2022-03-24T11:26:00Z</dcterms:modified>
</cp:coreProperties>
</file>