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1AA6434D" w:rsidR="00760249" w:rsidRPr="00760249" w:rsidRDefault="00611F1A" w:rsidP="00435B27">
            <w:pPr>
              <w:rPr>
                <w:b/>
              </w:rPr>
            </w:pPr>
            <w:r>
              <w:rPr>
                <w:b/>
              </w:rPr>
              <w:t>Kristiina Tomann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7BE3CFA6" w:rsidR="00CC4486" w:rsidRPr="00AE46D8" w:rsidRDefault="002008FF" w:rsidP="00141CF1">
            <w:r>
              <w:t>Finantsosakonna juhataja</w:t>
            </w:r>
            <w:r w:rsidR="00C52FA4">
              <w:t xml:space="preserve"> asetäitja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E0CB162" w:rsidR="00CC4486" w:rsidRPr="009C6956" w:rsidRDefault="00C52FA4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1B13385E" w14:textId="77777777" w:rsidR="00D13F1E" w:rsidRPr="00D13F1E" w:rsidRDefault="00D13F1E" w:rsidP="00D13F1E"/>
    <w:p w14:paraId="02A11156" w14:textId="354DF800" w:rsidR="00CC1DA1" w:rsidRDefault="00D13F1E" w:rsidP="00CC1DA1">
      <w:pPr>
        <w:ind w:left="-142" w:right="426"/>
        <w:jc w:val="both"/>
      </w:pPr>
      <w:r w:rsidRPr="00D00460">
        <w:t xml:space="preserve">Finantsosakonna finantsspetsialisti töö eesmärgiks on </w:t>
      </w:r>
      <w:r w:rsidR="006F7A01">
        <w:t xml:space="preserve">osakonnas </w:t>
      </w:r>
      <w:r w:rsidRPr="00D00460">
        <w:t xml:space="preserve">toetustega seotud </w:t>
      </w:r>
      <w:r>
        <w:t xml:space="preserve">tekkepõhise </w:t>
      </w:r>
      <w:r w:rsidRPr="00D00460">
        <w:t>finantsarvestus</w:t>
      </w:r>
      <w:r>
        <w:t>e teostamine, riikliku aruannete</w:t>
      </w:r>
      <w:r w:rsidR="00595F64">
        <w:t xml:space="preserve"> </w:t>
      </w:r>
      <w:r w:rsidR="0035735B">
        <w:t>koostamine ja esitamine</w:t>
      </w:r>
      <w:r>
        <w:t xml:space="preserve"> Riigi Tugiteenuste Keskusele, </w:t>
      </w:r>
      <w:r w:rsidR="00B52549">
        <w:t xml:space="preserve">tagasinõuete arvestus, enda </w:t>
      </w:r>
      <w:r>
        <w:t>pädevuse j</w:t>
      </w:r>
      <w:r w:rsidR="0035735B">
        <w:t>a töökohustuste piires suhtlemine klientidega ja nende nõustamine</w:t>
      </w:r>
      <w:r w:rsidR="00763495">
        <w:t>.</w:t>
      </w:r>
    </w:p>
    <w:p w14:paraId="1E15FA45" w14:textId="77777777" w:rsidR="00D13F1E" w:rsidRPr="00D13F1E" w:rsidRDefault="00D13F1E" w:rsidP="00D13F1E"/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0E17D0" w:rsidRDefault="006C1A28" w:rsidP="001E4CFD">
            <w:pPr>
              <w:jc w:val="center"/>
              <w:rPr>
                <w:b/>
              </w:rPr>
            </w:pPr>
            <w:r w:rsidRPr="000E17D0"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7E5" w14:textId="77777777" w:rsidR="00532AB1" w:rsidRDefault="00532AB1" w:rsidP="00532AB1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Tekkepõhine toetuste finantsarvestus </w:t>
            </w:r>
          </w:p>
          <w:p w14:paraId="4A9528A1" w14:textId="54096D2D" w:rsidR="00CE6D8B" w:rsidRPr="00AC2F08" w:rsidRDefault="00CE6D8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20A" w14:textId="1C704F66" w:rsidR="00532AB1" w:rsidRDefault="00532AB1" w:rsidP="00532AB1">
            <w:pPr>
              <w:numPr>
                <w:ilvl w:val="0"/>
                <w:numId w:val="12"/>
              </w:numPr>
            </w:pPr>
            <w:r>
              <w:t xml:space="preserve">Kõik majandustehingutega seotud </w:t>
            </w:r>
            <w:r w:rsidRPr="00A32184">
              <w:t>algdokumendid</w:t>
            </w:r>
            <w:r>
              <w:t xml:space="preserve"> on salvestatud ja hoiustat</w:t>
            </w:r>
            <w:r w:rsidRPr="00A32184">
              <w:t xml:space="preserve">ud PRIA serveril </w:t>
            </w:r>
            <w:r>
              <w:t>f</w:t>
            </w:r>
            <w:r w:rsidR="00AD20A1">
              <w:t>inantsosakonna failide kaustas.</w:t>
            </w:r>
          </w:p>
          <w:p w14:paraId="1CBC305B" w14:textId="4D2716E8" w:rsidR="00532AB1" w:rsidRDefault="00532AB1" w:rsidP="00532AB1">
            <w:pPr>
              <w:numPr>
                <w:ilvl w:val="0"/>
                <w:numId w:val="12"/>
              </w:numPr>
            </w:pPr>
            <w:r>
              <w:t>Kõik majandustehingud on kontrollitud algdokumentidega ja sisestatud</w:t>
            </w:r>
            <w:r w:rsidR="00AD20A1">
              <w:t xml:space="preserve"> õigeaegselt</w:t>
            </w:r>
            <w:r>
              <w:t xml:space="preserve"> </w:t>
            </w:r>
            <w:r w:rsidR="00AD20A1">
              <w:t xml:space="preserve"> PRIAX-</w:t>
            </w:r>
            <w:proofErr w:type="spellStart"/>
            <w:r w:rsidR="00AD20A1">
              <w:t>sse</w:t>
            </w:r>
            <w:proofErr w:type="spellEnd"/>
            <w:r w:rsidR="00AD20A1">
              <w:t xml:space="preserve"> </w:t>
            </w:r>
            <w:r>
              <w:t>lähtudes tekkepõhisuse printsi</w:t>
            </w:r>
            <w:r w:rsidR="00AD20A1">
              <w:t>ibist.</w:t>
            </w:r>
            <w:r>
              <w:t xml:space="preserve"> </w:t>
            </w:r>
          </w:p>
          <w:p w14:paraId="53D0F8AB" w14:textId="2E912908" w:rsidR="00532AB1" w:rsidRDefault="00532AB1" w:rsidP="00532AB1">
            <w:pPr>
              <w:pStyle w:val="ListParagraph"/>
              <w:numPr>
                <w:ilvl w:val="0"/>
                <w:numId w:val="12"/>
              </w:numPr>
            </w:pPr>
            <w:r w:rsidRPr="005B14D7">
              <w:t xml:space="preserve">Võrdlus Riigi TP-de läbi saldoandmike süsteemi </w:t>
            </w:r>
            <w:r>
              <w:t xml:space="preserve">on </w:t>
            </w:r>
            <w:r w:rsidRPr="005B14D7">
              <w:t>igakuiselt</w:t>
            </w:r>
            <w:r>
              <w:t xml:space="preserve"> tehtud</w:t>
            </w:r>
            <w:r w:rsidRPr="005B14D7">
              <w:t>, tekkin</w:t>
            </w:r>
            <w:r>
              <w:t>ud vahede põhjused on vormistatud dokumendina 1 kord kvartalis</w:t>
            </w:r>
            <w:r w:rsidR="00BB2865">
              <w:t>.</w:t>
            </w:r>
          </w:p>
          <w:p w14:paraId="23ADFAA8" w14:textId="554A5514" w:rsidR="00CE6D8B" w:rsidRDefault="00532AB1" w:rsidP="00532AB1">
            <w:pPr>
              <w:numPr>
                <w:ilvl w:val="0"/>
                <w:numId w:val="12"/>
              </w:numPr>
            </w:pPr>
            <w:r>
              <w:t>Klientidelt saabunud sihtfinantseerimise teatiste alusel on õigeaegselt võetud üles kohustised PRIAX-</w:t>
            </w:r>
            <w:proofErr w:type="spellStart"/>
            <w:r>
              <w:t>sse</w:t>
            </w:r>
            <w:proofErr w:type="spellEnd"/>
            <w:r w:rsidR="00BB2865">
              <w:t>.</w:t>
            </w:r>
            <w:r w:rsidR="00B52549">
              <w:t xml:space="preserve"> </w:t>
            </w:r>
          </w:p>
          <w:p w14:paraId="37FCD817" w14:textId="0DC7683E" w:rsidR="00B52549" w:rsidRDefault="00B52549" w:rsidP="00532AB1">
            <w:pPr>
              <w:numPr>
                <w:ilvl w:val="0"/>
                <w:numId w:val="12"/>
              </w:numPr>
            </w:pPr>
            <w:r>
              <w:t>Tasaarvelduskanded PRIAX-s on tasakaalustatud i</w:t>
            </w:r>
            <w:r w:rsidRPr="00FA2BE4">
              <w:t>ga kuu enne koo</w:t>
            </w:r>
            <w:r>
              <w:t>ndkannete saatmist SAP süsteemi</w:t>
            </w:r>
            <w:r w:rsidR="00BB2865">
              <w:t>.</w:t>
            </w:r>
            <w:r w:rsidR="00DC74F7">
              <w:t xml:space="preserve"> </w:t>
            </w:r>
          </w:p>
          <w:p w14:paraId="0ECA590E" w14:textId="2AA19A51" w:rsidR="00DC74F7" w:rsidRDefault="00DC74F7" w:rsidP="00532AB1">
            <w:pPr>
              <w:numPr>
                <w:ilvl w:val="0"/>
                <w:numId w:val="12"/>
              </w:numPr>
            </w:pPr>
            <w:r>
              <w:t>MAK ja EMK</w:t>
            </w:r>
            <w:r w:rsidR="00BB2865">
              <w:t>F TA sihtfinantseerimise teatis on  koostatud ja esitatud</w:t>
            </w:r>
            <w:r>
              <w:t xml:space="preserve"> </w:t>
            </w:r>
            <w:proofErr w:type="spellStart"/>
            <w:r>
              <w:t>RTK-le</w:t>
            </w:r>
            <w:proofErr w:type="spellEnd"/>
            <w:r>
              <w:t xml:space="preserve">. </w:t>
            </w:r>
          </w:p>
          <w:p w14:paraId="4A9528A5" w14:textId="602FAED7" w:rsidR="00AB4D13" w:rsidRPr="00AC2F08" w:rsidRDefault="00AB4D13" w:rsidP="00532AB1">
            <w:pPr>
              <w:numPr>
                <w:ilvl w:val="0"/>
                <w:numId w:val="12"/>
              </w:numPr>
            </w:pPr>
            <w:r>
              <w:t xml:space="preserve">Paranduskannete tegemiseks </w:t>
            </w:r>
            <w:r w:rsidR="00AC0599">
              <w:t>on memoriaalorder</w:t>
            </w:r>
            <w:r>
              <w:t xml:space="preserve"> koostatud ja</w:t>
            </w:r>
            <w:r w:rsidR="00AC0599">
              <w:t xml:space="preserve"> kanne sisestatud PRIAX-</w:t>
            </w:r>
            <w:proofErr w:type="spellStart"/>
            <w:r w:rsidR="00AC0599">
              <w:t>sse</w:t>
            </w:r>
            <w:proofErr w:type="spellEnd"/>
            <w:r>
              <w:t xml:space="preserve">. 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79FACB29" w:rsidR="00CC4486" w:rsidRPr="00AC2F08" w:rsidRDefault="004B2635" w:rsidP="001E4CFD">
            <w:r w:rsidRPr="004B2635">
              <w:t>Toetuste majandusaasta finantsinventuuride läbi viimine, koondite koostamine, väljavõtete tegemine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C6A" w14:textId="77777777" w:rsidR="00CC4486" w:rsidRDefault="004B2635" w:rsidP="004B2635">
            <w:pPr>
              <w:numPr>
                <w:ilvl w:val="0"/>
                <w:numId w:val="12"/>
              </w:numPr>
            </w:pPr>
            <w:r>
              <w:t>B</w:t>
            </w:r>
            <w:r w:rsidRPr="004B2635">
              <w:t>ilansikontode koondtabel PRIAX ja SAP saldodest aastalõpu seisuga</w:t>
            </w:r>
            <w:r>
              <w:t xml:space="preserve"> on koostatud.</w:t>
            </w:r>
          </w:p>
          <w:p w14:paraId="5E4EF75C" w14:textId="77777777" w:rsidR="004B2635" w:rsidRDefault="004B2635" w:rsidP="004B2635">
            <w:pPr>
              <w:numPr>
                <w:ilvl w:val="0"/>
                <w:numId w:val="12"/>
              </w:numPr>
            </w:pPr>
            <w:r w:rsidRPr="004B2635">
              <w:t>PRIAX ja SAP süsteemi pearaamatu kontode võrdlus</w:t>
            </w:r>
            <w:r>
              <w:t xml:space="preserve"> on teostatud, </w:t>
            </w:r>
            <w:r w:rsidRPr="004B2635">
              <w:t>vahed</w:t>
            </w:r>
            <w:r>
              <w:t xml:space="preserve"> on tuvastatud ja elimineeritud.</w:t>
            </w:r>
          </w:p>
          <w:p w14:paraId="299FC606" w14:textId="0787034B" w:rsidR="004B2635" w:rsidRDefault="004B2635" w:rsidP="004B2635">
            <w:pPr>
              <w:numPr>
                <w:ilvl w:val="0"/>
                <w:numId w:val="12"/>
              </w:numPr>
            </w:pPr>
            <w:r>
              <w:lastRenderedPageBreak/>
              <w:t>K</w:t>
            </w:r>
            <w:r w:rsidRPr="004B2635">
              <w:t>õikidele klientidele, kelle nõuete ja kohustiste saldo on 1000 eurot või rohkem</w:t>
            </w:r>
            <w:r>
              <w:t xml:space="preserve">, on </w:t>
            </w:r>
            <w:proofErr w:type="spellStart"/>
            <w:r w:rsidR="00063470">
              <w:t>PRIAXs</w:t>
            </w:r>
            <w:proofErr w:type="spellEnd"/>
            <w:r w:rsidR="00063470">
              <w:t xml:space="preserve"> saldoteatised genereeritud ja õigeaegselt välja saadetud.</w:t>
            </w:r>
          </w:p>
          <w:p w14:paraId="4A9528A9" w14:textId="096A486F" w:rsidR="005B14D7" w:rsidRPr="0015217D" w:rsidRDefault="002C52EA" w:rsidP="00063470">
            <w:pPr>
              <w:numPr>
                <w:ilvl w:val="0"/>
                <w:numId w:val="12"/>
              </w:numPr>
            </w:pPr>
            <w:r>
              <w:t>Võrdlus r</w:t>
            </w:r>
            <w:r w:rsidR="009B4E68" w:rsidRPr="009B4E68">
              <w:t xml:space="preserve">iiklike tehingupartneritega </w:t>
            </w:r>
            <w:r>
              <w:t xml:space="preserve">on läbi </w:t>
            </w:r>
            <w:r w:rsidR="009B4E68">
              <w:t>s</w:t>
            </w:r>
            <w:r>
              <w:t xml:space="preserve">aldoandmiku süsteemi </w:t>
            </w:r>
            <w:r w:rsidR="005B14D7">
              <w:t>teostatud.</w:t>
            </w:r>
          </w:p>
        </w:tc>
      </w:tr>
      <w:tr w:rsidR="00727682" w:rsidRPr="00AC2F08" w14:paraId="5FED23B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723" w14:textId="520A0062" w:rsidR="00727682" w:rsidRPr="005B14D7" w:rsidRDefault="00220F7C" w:rsidP="00220F7C">
            <w:r>
              <w:lastRenderedPageBreak/>
              <w:t>Iga kalendrikuu kohta m</w:t>
            </w:r>
            <w:r w:rsidR="00727682" w:rsidRPr="00727682">
              <w:t>aksudeklaratsioonide esitamine</w:t>
            </w:r>
            <w:r>
              <w:t xml:space="preserve"> </w:t>
            </w:r>
            <w:r w:rsidR="003C1274">
              <w:t>E</w:t>
            </w:r>
            <w:r w:rsidR="00AB28EF">
              <w:t>MTA-</w:t>
            </w:r>
            <w:proofErr w:type="spellStart"/>
            <w:r w:rsidR="00AB28EF">
              <w:t>le</w:t>
            </w:r>
            <w:proofErr w:type="spellEnd"/>
            <w:r w:rsidR="00AB28EF">
              <w:t xml:space="preserve"> </w:t>
            </w:r>
            <w:r>
              <w:t xml:space="preserve">(TSD)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046" w14:textId="30B98128" w:rsidR="00727682" w:rsidRDefault="00727682" w:rsidP="00727682">
            <w:pPr>
              <w:pStyle w:val="ListParagraph"/>
              <w:numPr>
                <w:ilvl w:val="0"/>
                <w:numId w:val="12"/>
              </w:numPr>
            </w:pPr>
            <w:r w:rsidRPr="00727682">
              <w:t>Tuluma</w:t>
            </w:r>
            <w:r w:rsidR="00E03D02">
              <w:t>ksu kandmise esildis on</w:t>
            </w:r>
            <w:r>
              <w:t xml:space="preserve"> otsuste/maksete finantsspetsialistile</w:t>
            </w:r>
            <w:r w:rsidR="00E03D02">
              <w:t xml:space="preserve"> õigeaegselt esitatud</w:t>
            </w:r>
            <w:r>
              <w:t>.</w:t>
            </w:r>
          </w:p>
          <w:p w14:paraId="20297DA8" w14:textId="42537C99" w:rsidR="00727682" w:rsidRDefault="00727682" w:rsidP="00727682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361BE1">
              <w:t>uludeklaratsioon on igakuiselt</w:t>
            </w:r>
            <w:r w:rsidRPr="00727682">
              <w:t xml:space="preserve"> 10. kuupäevaks</w:t>
            </w:r>
            <w:r w:rsidR="00361BE1">
              <w:t xml:space="preserve"> esitatud.</w:t>
            </w:r>
          </w:p>
          <w:p w14:paraId="3F0FE5BC" w14:textId="0956A8E6" w:rsidR="00610067" w:rsidRPr="005B14D7" w:rsidRDefault="00610067" w:rsidP="00361BE1">
            <w:pPr>
              <w:pStyle w:val="ListParagraph"/>
              <w:numPr>
                <w:ilvl w:val="0"/>
                <w:numId w:val="12"/>
              </w:numPr>
            </w:pPr>
            <w:r>
              <w:t>Tulumaksu korrigeerimiskanded on</w:t>
            </w:r>
            <w:r w:rsidR="00361BE1">
              <w:t xml:space="preserve"> pearaamatus tehtud</w:t>
            </w:r>
            <w:r>
              <w:t xml:space="preserve">. </w:t>
            </w:r>
          </w:p>
        </w:tc>
      </w:tr>
      <w:tr w:rsidR="000209AE" w:rsidRPr="00AC2F08" w14:paraId="7B9D6AF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5DC09D9A" w:rsidR="000209AE" w:rsidRDefault="006A7F99" w:rsidP="00E551E9">
            <w:r w:rsidRPr="006A7F99">
              <w:t>Uutele vastavuskoodidele grantide loomine PRIAX-s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D79" w14:textId="06A28A49" w:rsidR="000209AE" w:rsidRDefault="006A7F99" w:rsidP="006A7F99">
            <w:pPr>
              <w:numPr>
                <w:ilvl w:val="0"/>
                <w:numId w:val="12"/>
              </w:numPr>
            </w:pPr>
            <w:proofErr w:type="spellStart"/>
            <w:r w:rsidRPr="006A7F99">
              <w:t>Grantid</w:t>
            </w:r>
            <w:proofErr w:type="spellEnd"/>
            <w:r w:rsidRPr="006A7F99">
              <w:t xml:space="preserve"> on loodud õigeaegselt.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19C5217F" w:rsidR="0018411C" w:rsidRPr="00E65198" w:rsidRDefault="005A1505" w:rsidP="001E4CFD">
            <w:r w:rsidRPr="005A1505">
              <w:t>PRIA toetuste koondkannete koostamine, kontrollimine ja SAP süsteemi saatmine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328" w14:textId="60E2E35D" w:rsidR="0018411C" w:rsidRDefault="00882450" w:rsidP="005A1505">
            <w:pPr>
              <w:numPr>
                <w:ilvl w:val="0"/>
                <w:numId w:val="12"/>
              </w:numPr>
            </w:pPr>
            <w:r>
              <w:t>K</w:t>
            </w:r>
            <w:r w:rsidR="00ED0A5F">
              <w:t>ontroll</w:t>
            </w:r>
            <w:r w:rsidR="005A1505" w:rsidRPr="005A1505">
              <w:t>, et kõik eelmise kalendrikuu tehingud on sisestatud</w:t>
            </w:r>
            <w:r w:rsidR="007C72D9">
              <w:t xml:space="preserve"> ja korrektsed ning kajastatud </w:t>
            </w:r>
            <w:r w:rsidR="005A1505" w:rsidRPr="005A1505">
              <w:t>finantsarvestuse pr</w:t>
            </w:r>
            <w:r w:rsidR="005A1505">
              <w:t>otseduuris ettenähtud tähtajaks</w:t>
            </w:r>
            <w:r>
              <w:t>, on tehtud</w:t>
            </w:r>
            <w:r w:rsidR="005A1505">
              <w:t>.</w:t>
            </w:r>
          </w:p>
          <w:p w14:paraId="13425694" w14:textId="62DDF8A9" w:rsidR="005A1505" w:rsidRPr="00E65198" w:rsidRDefault="00882450" w:rsidP="00882450">
            <w:pPr>
              <w:numPr>
                <w:ilvl w:val="0"/>
                <w:numId w:val="12"/>
              </w:numPr>
            </w:pPr>
            <w:r>
              <w:t>K</w:t>
            </w:r>
            <w:r w:rsidR="00470117" w:rsidRPr="00470117">
              <w:t>oondkanded</w:t>
            </w:r>
            <w:r w:rsidR="007C72D9">
              <w:t xml:space="preserve"> on</w:t>
            </w:r>
            <w:r w:rsidR="00470117" w:rsidRPr="00470117">
              <w:t xml:space="preserve"> üle x-tee </w:t>
            </w:r>
            <w:proofErr w:type="spellStart"/>
            <w:r w:rsidR="00470117" w:rsidRPr="00470117">
              <w:t>SAP-i</w:t>
            </w:r>
            <w:proofErr w:type="spellEnd"/>
            <w:r w:rsidR="00470117" w:rsidRPr="00470117">
              <w:t xml:space="preserve"> </w:t>
            </w:r>
            <w:r w:rsidR="00470117">
              <w:t>saadetud</w:t>
            </w:r>
            <w:r>
              <w:t xml:space="preserve"> õigeaegselt</w:t>
            </w:r>
            <w:r w:rsidR="00470117">
              <w:t xml:space="preserve"> </w:t>
            </w:r>
            <w:r w:rsidR="007C72D9">
              <w:t xml:space="preserve">ja </w:t>
            </w:r>
            <w:proofErr w:type="spellStart"/>
            <w:r w:rsidR="00470117">
              <w:t>RTK-d</w:t>
            </w:r>
            <w:proofErr w:type="spellEnd"/>
            <w:r w:rsidR="00470117">
              <w:t xml:space="preserve"> on sellest teavitatud.</w:t>
            </w:r>
            <w:r w:rsidR="00470117" w:rsidRPr="00470117">
              <w:t xml:space="preserve"> </w:t>
            </w:r>
          </w:p>
        </w:tc>
      </w:tr>
      <w:tr w:rsidR="00B52549" w:rsidRPr="00AC2F08" w14:paraId="6E533483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CAC" w14:textId="5E8C55E5" w:rsidR="00B52549" w:rsidRPr="002F56CC" w:rsidRDefault="00B52549" w:rsidP="008A3779">
            <w:r w:rsidRPr="00294167">
              <w:t>Makseandmiku koostamine ja esitamine saldoandmike süsteemi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0FA" w14:textId="77777777" w:rsidR="00B52549" w:rsidRDefault="00B52549" w:rsidP="00B52549">
            <w:pPr>
              <w:numPr>
                <w:ilvl w:val="0"/>
                <w:numId w:val="1"/>
              </w:numPr>
            </w:pPr>
            <w:r w:rsidRPr="00294167">
              <w:t>Makseandmik on koostatud igakuiselt</w:t>
            </w:r>
            <w:r>
              <w:t xml:space="preserve"> vastavalt makseandmike vormile.</w:t>
            </w:r>
          </w:p>
          <w:p w14:paraId="37EF31B8" w14:textId="31EF8397" w:rsidR="00B52549" w:rsidRPr="002F56CC" w:rsidRDefault="00B52549" w:rsidP="00B52549">
            <w:pPr>
              <w:numPr>
                <w:ilvl w:val="0"/>
                <w:numId w:val="12"/>
              </w:numPr>
            </w:pPr>
            <w:r>
              <w:t>M</w:t>
            </w:r>
            <w:r w:rsidRPr="00775078">
              <w:t>akseandmik on esitatud saldoandmike süsteemi igakuiselt avaliku sektori finantsarvestuse ja -aruandluse juhendis ettenähtud tähtajal.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144106FC" w:rsidR="008A3779" w:rsidRDefault="00A80CE5" w:rsidP="006724A8">
            <w:proofErr w:type="spellStart"/>
            <w:r>
              <w:t>ARMA</w:t>
            </w:r>
            <w:r w:rsidR="006724A8">
              <w:t>-s</w:t>
            </w:r>
            <w:proofErr w:type="spellEnd"/>
            <w:r w:rsidR="006724A8">
              <w:t xml:space="preserve"> </w:t>
            </w:r>
            <w:r w:rsidR="002F56CC" w:rsidRPr="002F56CC">
              <w:t xml:space="preserve">tasa- ja </w:t>
            </w:r>
            <w:proofErr w:type="spellStart"/>
            <w:r w:rsidR="002F56CC" w:rsidRPr="002F56CC">
              <w:t>mahaarvelduste</w:t>
            </w:r>
            <w:proofErr w:type="spellEnd"/>
            <w:r w:rsidR="002F56CC" w:rsidRPr="002F56CC">
              <w:t xml:space="preserve"> teostamine sh intresside ja viiviste juurde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2FA04BE0" w:rsidR="00BF46D1" w:rsidRDefault="002F56CC" w:rsidP="000C569B">
            <w:pPr>
              <w:numPr>
                <w:ilvl w:val="0"/>
                <w:numId w:val="12"/>
              </w:numPr>
            </w:pPr>
            <w:r w:rsidRPr="002F56CC">
              <w:t>Kliendi võlale on intressi/viivise juurde arvestus</w:t>
            </w:r>
            <w:r w:rsidR="006724A8">
              <w:t xml:space="preserve">ed </w:t>
            </w:r>
            <w:r w:rsidR="00A80CE5">
              <w:t>ning maha- ja tasaarveldused</w:t>
            </w:r>
            <w:r w:rsidR="006724A8">
              <w:t xml:space="preserve"> teostatud</w:t>
            </w:r>
            <w:r>
              <w:t>.</w:t>
            </w:r>
          </w:p>
        </w:tc>
      </w:tr>
      <w:tr w:rsidR="00FA2BE4" w:rsidRPr="00AC2F08" w14:paraId="1399972E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F82" w14:textId="090A75E6" w:rsidR="00FA2BE4" w:rsidRDefault="00FA2BE4" w:rsidP="00FA2BE4">
            <w:r w:rsidRPr="00FA2BE4">
              <w:t xml:space="preserve">Arvelduste tühistamine </w:t>
            </w:r>
            <w:proofErr w:type="spellStart"/>
            <w:r w:rsidRPr="00FA2BE4">
              <w:t>ARMA</w:t>
            </w:r>
            <w:r>
              <w:t>-s</w:t>
            </w:r>
            <w:proofErr w:type="spellEnd"/>
            <w:r w:rsidR="006724A8">
              <w:t xml:space="preserve"> otsuste alusel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7B6" w14:textId="17210C7B" w:rsidR="00FA2BE4" w:rsidRDefault="00FA2BE4" w:rsidP="00FA2BE4">
            <w:pPr>
              <w:numPr>
                <w:ilvl w:val="0"/>
                <w:numId w:val="1"/>
              </w:numPr>
            </w:pPr>
            <w:r>
              <w:t>A</w:t>
            </w:r>
            <w:r w:rsidR="00E312CB">
              <w:t>r</w:t>
            </w:r>
            <w:r w:rsidRPr="00FA2BE4">
              <w:t xml:space="preserve">veldused </w:t>
            </w:r>
            <w:r>
              <w:t xml:space="preserve">on tühistatud </w:t>
            </w:r>
            <w:proofErr w:type="spellStart"/>
            <w:r w:rsidRPr="00FA2BE4">
              <w:t>ARMA</w:t>
            </w:r>
            <w:r>
              <w:t>-</w:t>
            </w:r>
            <w:r w:rsidRPr="00FA2BE4">
              <w:t>s</w:t>
            </w:r>
            <w:proofErr w:type="spellEnd"/>
            <w:r w:rsidRPr="00FA2BE4">
              <w:t xml:space="preserve"> </w:t>
            </w:r>
            <w:r w:rsidR="006724A8">
              <w:t xml:space="preserve">ja </w:t>
            </w:r>
          </w:p>
          <w:p w14:paraId="0DB27E07" w14:textId="1684C4D9" w:rsidR="003E3C78" w:rsidRPr="00E65198" w:rsidRDefault="006724A8" w:rsidP="006724A8">
            <w:pPr>
              <w:ind w:left="360"/>
            </w:pPr>
            <w:r>
              <w:t>v</w:t>
            </w:r>
            <w:r w:rsidR="003E3C78" w:rsidRPr="003E3C78">
              <w:t xml:space="preserve">abanenud summad on seotud kliendi teiste nõuetega või eelarvevahendite olemasolul suunatud kliendile maksmiseks </w:t>
            </w:r>
            <w:r w:rsidR="00CB7BCB">
              <w:t>vastavalt</w:t>
            </w:r>
            <w:r w:rsidR="003E3C78" w:rsidRPr="003E3C78">
              <w:t xml:space="preserve"> PRIA toetuste finantsarvestuse protseduurile.</w:t>
            </w:r>
          </w:p>
        </w:tc>
      </w:tr>
      <w:tr w:rsidR="00B52549" w:rsidRPr="00B52549" w14:paraId="65A7886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BFB" w14:textId="685CF581" w:rsidR="00294167" w:rsidRPr="006724A8" w:rsidRDefault="00294167" w:rsidP="001E4CFD">
            <w:r w:rsidRPr="006724A8">
              <w:t xml:space="preserve">Euroopa Komisjonile kantud summade ja 4 aastaste nõuete 50% Euroopa Komisjonile kantuks märkimine </w:t>
            </w:r>
            <w:proofErr w:type="spellStart"/>
            <w:r w:rsidRPr="006724A8">
              <w:t>ARMA</w:t>
            </w:r>
            <w:r w:rsidR="00E312CB" w:rsidRPr="006724A8">
              <w:t>-</w:t>
            </w:r>
            <w:r w:rsidRPr="006724A8">
              <w:t>s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31" w14:textId="5EAE1DDA" w:rsidR="00294167" w:rsidRPr="006724A8" w:rsidRDefault="00294167" w:rsidP="00294167">
            <w:pPr>
              <w:numPr>
                <w:ilvl w:val="0"/>
                <w:numId w:val="1"/>
              </w:numPr>
            </w:pPr>
            <w:r w:rsidRPr="006724A8">
              <w:t xml:space="preserve">Tagasinõuded on </w:t>
            </w:r>
            <w:proofErr w:type="spellStart"/>
            <w:r w:rsidRPr="006724A8">
              <w:t>ARMA</w:t>
            </w:r>
            <w:r w:rsidR="00E312CB" w:rsidRPr="006724A8">
              <w:t>-</w:t>
            </w:r>
            <w:r w:rsidRPr="006724A8">
              <w:t>s</w:t>
            </w:r>
            <w:proofErr w:type="spellEnd"/>
            <w:r w:rsidRPr="006724A8">
              <w:t xml:space="preserve"> märgitud</w:t>
            </w:r>
            <w:r w:rsidR="008A3D77">
              <w:t xml:space="preserve"> õigeaegselt</w:t>
            </w:r>
            <w:r w:rsidRPr="006724A8">
              <w:t xml:space="preserve"> „50% Komisjonile</w:t>
            </w:r>
            <w:r w:rsidR="000E17D0">
              <w:t xml:space="preserve"> kantud“</w:t>
            </w:r>
            <w:r w:rsidR="00027382">
              <w:t>.</w:t>
            </w:r>
          </w:p>
        </w:tc>
      </w:tr>
      <w:tr w:rsidR="00DB2426" w:rsidRPr="00AC2F08" w14:paraId="58D8582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802" w14:textId="116628C2" w:rsidR="00DB2426" w:rsidRDefault="00DB2426" w:rsidP="001E4CFD">
            <w:r w:rsidRPr="00DB2426">
              <w:t>Arendustöös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089" w14:textId="77777777" w:rsidR="00DB2426" w:rsidRDefault="00DB2426" w:rsidP="00DB2426">
            <w:pPr>
              <w:numPr>
                <w:ilvl w:val="0"/>
                <w:numId w:val="1"/>
              </w:numPr>
            </w:pPr>
            <w:r>
              <w:t>F</w:t>
            </w:r>
            <w:r w:rsidRPr="00DB2426">
              <w:t>inantsarvestussüsteemide arendusettepanekuid töö tõhu</w:t>
            </w:r>
            <w:r>
              <w:t>stamiseks ning optimeerimiseks on tehtud.</w:t>
            </w:r>
          </w:p>
          <w:p w14:paraId="15B1961B" w14:textId="02B0591F" w:rsidR="00DB2426" w:rsidRPr="00E65198" w:rsidRDefault="00DB2426" w:rsidP="00DB2426">
            <w:pPr>
              <w:numPr>
                <w:ilvl w:val="0"/>
                <w:numId w:val="1"/>
              </w:numPr>
            </w:pPr>
            <w:r>
              <w:t>A</w:t>
            </w:r>
            <w:r w:rsidRPr="00DB2426">
              <w:t>renduste test</w:t>
            </w:r>
            <w:r w:rsidR="00605525">
              <w:t>imis</w:t>
            </w:r>
            <w:r>
              <w:t>e</w:t>
            </w:r>
            <w:r w:rsidR="00605525">
              <w:t>l on osaletud</w:t>
            </w:r>
            <w:r>
              <w:t>.</w:t>
            </w:r>
          </w:p>
        </w:tc>
      </w:tr>
      <w:tr w:rsidR="00173AF1" w:rsidRPr="00AC2F08" w14:paraId="714D5E0E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121" w14:textId="06556321" w:rsidR="00173AF1" w:rsidRDefault="00173AF1" w:rsidP="001E4CFD">
            <w:r w:rsidRPr="00173AF1">
              <w:t>Lisaülesannete täi</w:t>
            </w:r>
            <w:r>
              <w:t>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41D" w14:textId="7841C5AB" w:rsidR="00173AF1" w:rsidRPr="00E65198" w:rsidRDefault="00173AF1" w:rsidP="00173AF1">
            <w:pPr>
              <w:numPr>
                <w:ilvl w:val="0"/>
                <w:numId w:val="1"/>
              </w:numPr>
            </w:pPr>
            <w:r>
              <w:t>O</w:t>
            </w:r>
            <w:r w:rsidRPr="00173AF1">
              <w:t>sakonna juhataja ja osakonna juhataja asetäitja poolt määratud lisaülesanded on täidetud</w:t>
            </w:r>
            <w:r>
              <w:t>.</w:t>
            </w:r>
          </w:p>
        </w:tc>
      </w:tr>
      <w:tr w:rsidR="00DB2426" w:rsidRPr="00AC2F08" w14:paraId="48BAC7F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DC8" w14:textId="4BA70A2B" w:rsidR="00DB2426" w:rsidRDefault="000C7A97" w:rsidP="001E4CFD">
            <w:r w:rsidRPr="000C7A97">
              <w:t>Töökoosolekutel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A53" w14:textId="0CB9F448" w:rsidR="00DB2426" w:rsidRPr="00E65198" w:rsidRDefault="00F55E32" w:rsidP="000C7A97">
            <w:pPr>
              <w:numPr>
                <w:ilvl w:val="0"/>
                <w:numId w:val="1"/>
              </w:numPr>
            </w:pPr>
            <w:r>
              <w:t>Koosolekutel, kus</w:t>
            </w:r>
            <w:r w:rsidR="000C7A97" w:rsidRPr="000C7A97">
              <w:t xml:space="preserve"> kohalolek on kohustuslik</w:t>
            </w:r>
            <w:r w:rsidR="000C7A97">
              <w:t>, on osaletud</w:t>
            </w:r>
            <w:r w:rsidR="000C7A97" w:rsidRPr="000C7A97">
              <w:t>.</w:t>
            </w:r>
          </w:p>
        </w:tc>
      </w:tr>
      <w:tr w:rsidR="004B081E" w:rsidRPr="00AC2F08" w14:paraId="6D7C5FD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CDC" w14:textId="1D46DFAC" w:rsidR="004B081E" w:rsidRPr="00F55E32" w:rsidRDefault="004B081E" w:rsidP="001E4CFD">
            <w:r w:rsidRPr="00F55E32">
              <w:t>Informatsiooni andmine järelevalvet teostavate organisatsioonide esindajatele, audititele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065" w14:textId="77777777" w:rsidR="004B081E" w:rsidRDefault="004B081E" w:rsidP="00F55E32">
            <w:pPr>
              <w:numPr>
                <w:ilvl w:val="0"/>
                <w:numId w:val="1"/>
              </w:numPr>
            </w:pPr>
            <w:r w:rsidRPr="00F55E32">
              <w:t>Järelevalvet teostavate organisatsioonide esindajad on saanud neid rahuldava informatsiooni teenis</w:t>
            </w:r>
            <w:r>
              <w:t>tuja vastutuses oleva töö kohta.</w:t>
            </w:r>
          </w:p>
          <w:p w14:paraId="71E4B18D" w14:textId="55E27D7F" w:rsidR="004B081E" w:rsidRPr="00F55E32" w:rsidRDefault="004B081E" w:rsidP="0075642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K</w:t>
            </w:r>
            <w:r w:rsidRPr="00F55E32">
              <w:t xml:space="preserve">oostatud </w:t>
            </w:r>
            <w:r>
              <w:t xml:space="preserve">on </w:t>
            </w:r>
            <w:proofErr w:type="spellStart"/>
            <w:r w:rsidRPr="00F55E32">
              <w:t>sise</w:t>
            </w:r>
            <w:proofErr w:type="spellEnd"/>
            <w:r w:rsidRPr="00F55E32">
              <w:t xml:space="preserve">- ja </w:t>
            </w:r>
            <w:proofErr w:type="spellStart"/>
            <w:r w:rsidRPr="00F55E32">
              <w:t>välisaudititele</w:t>
            </w:r>
            <w:proofErr w:type="spellEnd"/>
            <w:r w:rsidRPr="00F55E32">
              <w:t xml:space="preserve"> ülevaated, korraldatu</w:t>
            </w:r>
            <w:r>
              <w:t>d andmete väljavõtmine ja osalet</w:t>
            </w:r>
            <w:r w:rsidRPr="00F55E32">
              <w:t>ud vajadusel intervjuudel</w:t>
            </w:r>
            <w:r>
              <w:t>.</w:t>
            </w:r>
          </w:p>
        </w:tc>
      </w:tr>
      <w:tr w:rsidR="004B081E" w:rsidRPr="00AC2F08" w14:paraId="1EA47EA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86F" w14:textId="1D5D9B8D" w:rsidR="004B081E" w:rsidRDefault="004B081E" w:rsidP="001E4CFD">
            <w:r>
              <w:lastRenderedPageBreak/>
              <w:t xml:space="preserve">Infovahetus </w:t>
            </w:r>
            <w:r w:rsidRPr="00AC2F08">
              <w:t>organisatsioonis</w:t>
            </w:r>
            <w:r>
              <w:t xml:space="preserve"> ja suhtlemine klientidega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BF5" w14:textId="77777777" w:rsidR="004B081E" w:rsidRDefault="004B081E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2D011C39" w14:textId="678363A1" w:rsidR="004B081E" w:rsidRPr="00E65198" w:rsidRDefault="004B081E" w:rsidP="00AE065E">
            <w:pPr>
              <w:pStyle w:val="ListParagraph"/>
              <w:numPr>
                <w:ilvl w:val="0"/>
                <w:numId w:val="1"/>
              </w:numPr>
            </w:pPr>
            <w:r w:rsidRPr="004B081E">
              <w:t>Suhtlemisel klientidega on käitutud vastavalt asutuse kehtivale teenindusstandardile</w:t>
            </w:r>
            <w:r w:rsidR="00AE065E">
              <w:t xml:space="preserve"> ning</w:t>
            </w:r>
            <w:r w:rsidRPr="005B5027">
              <w:t xml:space="preserve"> konfidentsiaalsuse nõudest </w:t>
            </w:r>
            <w:r w:rsidR="00AE065E">
              <w:t>on kinni peetud.</w:t>
            </w:r>
          </w:p>
        </w:tc>
      </w:tr>
      <w:tr w:rsidR="004B081E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436A5E91" w:rsidR="004B081E" w:rsidRPr="00AC2F08" w:rsidRDefault="004B081E" w:rsidP="001E4CFD">
            <w:r>
              <w:t>Juhe</w:t>
            </w:r>
            <w:r w:rsidR="00EB100A">
              <w:t>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22C55081" w:rsidR="004B081E" w:rsidRPr="00AC2F08" w:rsidRDefault="004B081E" w:rsidP="004618C2">
            <w:pPr>
              <w:numPr>
                <w:ilvl w:val="0"/>
                <w:numId w:val="1"/>
              </w:numPr>
            </w:pPr>
            <w:r w:rsidRPr="00060F9F">
              <w:t>Uut meeskonnaliiget on töö</w:t>
            </w:r>
            <w:r w:rsidR="00EB100A">
              <w:t>ülesannete täitmisel juhendatud.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01A8FD7B" w14:textId="77777777" w:rsidR="00EA04E9" w:rsidRDefault="00EA04E9" w:rsidP="008349F7">
            <w:pPr>
              <w:pStyle w:val="BodyText"/>
            </w:pPr>
          </w:p>
          <w:p w14:paraId="611EE195" w14:textId="58BC2ACE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0E17D0">
              <w:t xml:space="preserve"> juhatajal</w:t>
            </w:r>
            <w:r w:rsidR="00551103">
              <w:t xml:space="preserve"> </w:t>
            </w:r>
            <w:r>
              <w:t xml:space="preserve">ja finantsosakonna juhataja asetäitjal. </w:t>
            </w:r>
            <w:r w:rsidR="00551103" w:rsidRPr="004F000B">
              <w:t xml:space="preserve">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435B2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435B2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6CB3D7A3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>avalikus sektoris töötamise kogemus</w:t>
            </w:r>
            <w:r w:rsidR="000E17D0">
              <w:rPr>
                <w:color w:val="000000" w:themeColor="text1"/>
              </w:rPr>
              <w:t>;</w:t>
            </w:r>
            <w:r w:rsidR="006C1A28" w:rsidRPr="00A65EA1">
              <w:rPr>
                <w:color w:val="000000" w:themeColor="text1"/>
              </w:rPr>
              <w:t xml:space="preserve">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435B2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435B2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435B2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672E0CF4" w:rsidR="006C1A28" w:rsidRPr="00034A03" w:rsidRDefault="006C1A28" w:rsidP="000E17D0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</w:t>
            </w:r>
            <w:r w:rsidR="000E17D0">
              <w:t>;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435B2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2F1E2806" w:rsidR="006C1A28" w:rsidRPr="00034A03" w:rsidRDefault="00AC74F5" w:rsidP="00435B27">
            <w:pPr>
              <w:numPr>
                <w:ilvl w:val="0"/>
                <w:numId w:val="6"/>
              </w:numPr>
            </w:pPr>
            <w:r>
              <w:t>initsiatiivikus</w:t>
            </w:r>
            <w:r w:rsidR="006C1A28" w:rsidRPr="00034A03">
              <w:t>;</w:t>
            </w:r>
          </w:p>
          <w:p w14:paraId="042AB9E9" w14:textId="77777777" w:rsidR="006C1A28" w:rsidRDefault="006C1A28" w:rsidP="00435B2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2F2391C" w14:textId="5139798F" w:rsidR="00AC74F5" w:rsidRPr="00034A03" w:rsidRDefault="00AC74F5" w:rsidP="00435B27">
            <w:pPr>
              <w:numPr>
                <w:ilvl w:val="0"/>
                <w:numId w:val="6"/>
              </w:numPr>
            </w:pPr>
            <w:r>
              <w:t>kiirus;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3977C1FF" w14:textId="77777777" w:rsidR="006C1A28" w:rsidRDefault="00AC74F5" w:rsidP="00435B2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42498483" w14:textId="77777777" w:rsidR="00AC74F5" w:rsidRDefault="00AC74F5" w:rsidP="00435B27">
            <w:pPr>
              <w:numPr>
                <w:ilvl w:val="0"/>
                <w:numId w:val="6"/>
              </w:numPr>
            </w:pPr>
            <w:r>
              <w:t>hea stressitaluvus;</w:t>
            </w:r>
          </w:p>
          <w:p w14:paraId="3FE84F68" w14:textId="77777777" w:rsidR="00AC74F5" w:rsidRDefault="00AC74F5" w:rsidP="00435B27">
            <w:pPr>
              <w:numPr>
                <w:ilvl w:val="0"/>
                <w:numId w:val="6"/>
              </w:numPr>
            </w:pPr>
            <w:r>
              <w:t>meeskonnatöö valmidus;</w:t>
            </w:r>
            <w:bookmarkStart w:id="0" w:name="_GoBack"/>
            <w:bookmarkEnd w:id="0"/>
          </w:p>
          <w:p w14:paraId="762AC974" w14:textId="4A6470BD" w:rsidR="00AC74F5" w:rsidRPr="00034A03" w:rsidRDefault="00AC74F5" w:rsidP="00435B27">
            <w:pPr>
              <w:numPr>
                <w:ilvl w:val="0"/>
                <w:numId w:val="6"/>
              </w:numPr>
            </w:pPr>
            <w:r>
              <w:t>hea suhtlemisoskus</w:t>
            </w:r>
            <w:r w:rsidR="000E17D0">
              <w:t>.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B3498A0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7801B0">
        <w:rPr>
          <w:color w:val="000000"/>
        </w:rPr>
        <w:t>Tiiu Klaos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lastRenderedPageBreak/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5DD8D112" w:rsidR="0076024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611F1A">
        <w:rPr>
          <w:color w:val="000000"/>
        </w:rPr>
        <w:t>Kristiina Tomann</w:t>
      </w:r>
    </w:p>
    <w:p w14:paraId="23CF2C07" w14:textId="77777777" w:rsidR="00611F1A" w:rsidRPr="00641439" w:rsidRDefault="00611F1A" w:rsidP="00760249">
      <w:pPr>
        <w:rPr>
          <w:color w:val="000000"/>
        </w:rPr>
      </w:pP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26FB3"/>
    <w:rsid w:val="00027382"/>
    <w:rsid w:val="00033BCE"/>
    <w:rsid w:val="00034A03"/>
    <w:rsid w:val="00047CB6"/>
    <w:rsid w:val="00060F9F"/>
    <w:rsid w:val="00063470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0646"/>
    <w:rsid w:val="000B6337"/>
    <w:rsid w:val="000C569B"/>
    <w:rsid w:val="000C7A97"/>
    <w:rsid w:val="000D7439"/>
    <w:rsid w:val="000E17D0"/>
    <w:rsid w:val="000E5896"/>
    <w:rsid w:val="000E7565"/>
    <w:rsid w:val="000F7DF8"/>
    <w:rsid w:val="001011F2"/>
    <w:rsid w:val="00117B6B"/>
    <w:rsid w:val="00133D32"/>
    <w:rsid w:val="00135353"/>
    <w:rsid w:val="00141CF1"/>
    <w:rsid w:val="00143553"/>
    <w:rsid w:val="0015217D"/>
    <w:rsid w:val="0015617F"/>
    <w:rsid w:val="001610DC"/>
    <w:rsid w:val="00173AF1"/>
    <w:rsid w:val="0018411C"/>
    <w:rsid w:val="001D019A"/>
    <w:rsid w:val="001D5A24"/>
    <w:rsid w:val="001E3FC7"/>
    <w:rsid w:val="001E4B8A"/>
    <w:rsid w:val="001E4CFD"/>
    <w:rsid w:val="001F45B8"/>
    <w:rsid w:val="002001BD"/>
    <w:rsid w:val="002008FF"/>
    <w:rsid w:val="00217B19"/>
    <w:rsid w:val="00220F7C"/>
    <w:rsid w:val="00237919"/>
    <w:rsid w:val="002525BF"/>
    <w:rsid w:val="00260F55"/>
    <w:rsid w:val="0026409D"/>
    <w:rsid w:val="00265399"/>
    <w:rsid w:val="00271276"/>
    <w:rsid w:val="00294167"/>
    <w:rsid w:val="002A43E1"/>
    <w:rsid w:val="002B428F"/>
    <w:rsid w:val="002B7AD0"/>
    <w:rsid w:val="002C52EA"/>
    <w:rsid w:val="002D21FD"/>
    <w:rsid w:val="002D2987"/>
    <w:rsid w:val="002D6C7B"/>
    <w:rsid w:val="002E3AF9"/>
    <w:rsid w:val="002F56CC"/>
    <w:rsid w:val="00314297"/>
    <w:rsid w:val="00316468"/>
    <w:rsid w:val="0032177D"/>
    <w:rsid w:val="00324440"/>
    <w:rsid w:val="00345872"/>
    <w:rsid w:val="003468A0"/>
    <w:rsid w:val="00356F9A"/>
    <w:rsid w:val="0035735B"/>
    <w:rsid w:val="00361BE1"/>
    <w:rsid w:val="00375565"/>
    <w:rsid w:val="00383F13"/>
    <w:rsid w:val="003C1274"/>
    <w:rsid w:val="003C537C"/>
    <w:rsid w:val="003C73A0"/>
    <w:rsid w:val="003C7840"/>
    <w:rsid w:val="003D08C0"/>
    <w:rsid w:val="003E3C78"/>
    <w:rsid w:val="0040505C"/>
    <w:rsid w:val="00413276"/>
    <w:rsid w:val="00424AD5"/>
    <w:rsid w:val="004252F0"/>
    <w:rsid w:val="00425CDB"/>
    <w:rsid w:val="00431D71"/>
    <w:rsid w:val="004359AC"/>
    <w:rsid w:val="00435B27"/>
    <w:rsid w:val="0043786E"/>
    <w:rsid w:val="004616A4"/>
    <w:rsid w:val="004618C2"/>
    <w:rsid w:val="00470117"/>
    <w:rsid w:val="0048258F"/>
    <w:rsid w:val="00487C8C"/>
    <w:rsid w:val="004A2C3A"/>
    <w:rsid w:val="004A5B0E"/>
    <w:rsid w:val="004A6DCF"/>
    <w:rsid w:val="004B0702"/>
    <w:rsid w:val="004B081E"/>
    <w:rsid w:val="004B2635"/>
    <w:rsid w:val="004D11DE"/>
    <w:rsid w:val="004E1CC9"/>
    <w:rsid w:val="004F000B"/>
    <w:rsid w:val="00502B8C"/>
    <w:rsid w:val="0050563D"/>
    <w:rsid w:val="0050696F"/>
    <w:rsid w:val="005109CD"/>
    <w:rsid w:val="00526820"/>
    <w:rsid w:val="00526A93"/>
    <w:rsid w:val="00532AB1"/>
    <w:rsid w:val="00551103"/>
    <w:rsid w:val="00567E5F"/>
    <w:rsid w:val="0057012D"/>
    <w:rsid w:val="005746A7"/>
    <w:rsid w:val="00582DB0"/>
    <w:rsid w:val="005862EB"/>
    <w:rsid w:val="00595F64"/>
    <w:rsid w:val="005A1505"/>
    <w:rsid w:val="005B14D7"/>
    <w:rsid w:val="005B33AF"/>
    <w:rsid w:val="005B5027"/>
    <w:rsid w:val="005C059C"/>
    <w:rsid w:val="005E7FD9"/>
    <w:rsid w:val="005F0238"/>
    <w:rsid w:val="005F2DF9"/>
    <w:rsid w:val="005F721A"/>
    <w:rsid w:val="00605525"/>
    <w:rsid w:val="00610067"/>
    <w:rsid w:val="00611F1A"/>
    <w:rsid w:val="006157CE"/>
    <w:rsid w:val="006222AB"/>
    <w:rsid w:val="0063739E"/>
    <w:rsid w:val="0066767D"/>
    <w:rsid w:val="006724A8"/>
    <w:rsid w:val="00680562"/>
    <w:rsid w:val="00695D0B"/>
    <w:rsid w:val="006A024E"/>
    <w:rsid w:val="006A1CC6"/>
    <w:rsid w:val="006A7F99"/>
    <w:rsid w:val="006B47E6"/>
    <w:rsid w:val="006C1A28"/>
    <w:rsid w:val="006C28C5"/>
    <w:rsid w:val="006C4B0F"/>
    <w:rsid w:val="006D063F"/>
    <w:rsid w:val="006D0CAE"/>
    <w:rsid w:val="006E18F2"/>
    <w:rsid w:val="006F7A01"/>
    <w:rsid w:val="00710701"/>
    <w:rsid w:val="00713ED6"/>
    <w:rsid w:val="00727682"/>
    <w:rsid w:val="00731611"/>
    <w:rsid w:val="00734AAE"/>
    <w:rsid w:val="00756422"/>
    <w:rsid w:val="00760249"/>
    <w:rsid w:val="00763495"/>
    <w:rsid w:val="00771908"/>
    <w:rsid w:val="00775078"/>
    <w:rsid w:val="007801B0"/>
    <w:rsid w:val="00786EF1"/>
    <w:rsid w:val="007A1774"/>
    <w:rsid w:val="007B26EB"/>
    <w:rsid w:val="007C1BA7"/>
    <w:rsid w:val="007C72D9"/>
    <w:rsid w:val="007D592F"/>
    <w:rsid w:val="007E79DE"/>
    <w:rsid w:val="007F72A8"/>
    <w:rsid w:val="0080124B"/>
    <w:rsid w:val="008065F0"/>
    <w:rsid w:val="00814DD9"/>
    <w:rsid w:val="00820DE8"/>
    <w:rsid w:val="00833A5A"/>
    <w:rsid w:val="008349F7"/>
    <w:rsid w:val="008807B9"/>
    <w:rsid w:val="00882450"/>
    <w:rsid w:val="0089054E"/>
    <w:rsid w:val="008975B1"/>
    <w:rsid w:val="008A060A"/>
    <w:rsid w:val="008A1C67"/>
    <w:rsid w:val="008A3779"/>
    <w:rsid w:val="008A3D77"/>
    <w:rsid w:val="008C3A0D"/>
    <w:rsid w:val="008D2379"/>
    <w:rsid w:val="00903EAD"/>
    <w:rsid w:val="0091228F"/>
    <w:rsid w:val="00925D2E"/>
    <w:rsid w:val="0094529E"/>
    <w:rsid w:val="00967087"/>
    <w:rsid w:val="009707DE"/>
    <w:rsid w:val="00977453"/>
    <w:rsid w:val="00996731"/>
    <w:rsid w:val="009A1285"/>
    <w:rsid w:val="009A1713"/>
    <w:rsid w:val="009A79B9"/>
    <w:rsid w:val="009B45B1"/>
    <w:rsid w:val="009B4E68"/>
    <w:rsid w:val="009C06AC"/>
    <w:rsid w:val="009C635F"/>
    <w:rsid w:val="009C6956"/>
    <w:rsid w:val="009D7A7F"/>
    <w:rsid w:val="009E1321"/>
    <w:rsid w:val="009F3538"/>
    <w:rsid w:val="00A131FF"/>
    <w:rsid w:val="00A24626"/>
    <w:rsid w:val="00A26A23"/>
    <w:rsid w:val="00A4009C"/>
    <w:rsid w:val="00A50C1B"/>
    <w:rsid w:val="00A5245A"/>
    <w:rsid w:val="00A61688"/>
    <w:rsid w:val="00A65EA1"/>
    <w:rsid w:val="00A80CE5"/>
    <w:rsid w:val="00A830B1"/>
    <w:rsid w:val="00AA015F"/>
    <w:rsid w:val="00AA2B04"/>
    <w:rsid w:val="00AB0D12"/>
    <w:rsid w:val="00AB28EF"/>
    <w:rsid w:val="00AB4D13"/>
    <w:rsid w:val="00AC0599"/>
    <w:rsid w:val="00AC19EA"/>
    <w:rsid w:val="00AC260F"/>
    <w:rsid w:val="00AC2F08"/>
    <w:rsid w:val="00AC5E9D"/>
    <w:rsid w:val="00AC74F5"/>
    <w:rsid w:val="00AD20A1"/>
    <w:rsid w:val="00AD2BC8"/>
    <w:rsid w:val="00AE065E"/>
    <w:rsid w:val="00AE46D8"/>
    <w:rsid w:val="00B035B5"/>
    <w:rsid w:val="00B31319"/>
    <w:rsid w:val="00B358B5"/>
    <w:rsid w:val="00B43850"/>
    <w:rsid w:val="00B50272"/>
    <w:rsid w:val="00B52549"/>
    <w:rsid w:val="00B527ED"/>
    <w:rsid w:val="00B83D2A"/>
    <w:rsid w:val="00B90A88"/>
    <w:rsid w:val="00BB2865"/>
    <w:rsid w:val="00BB65DF"/>
    <w:rsid w:val="00BC4ABF"/>
    <w:rsid w:val="00BD0F9D"/>
    <w:rsid w:val="00BE5B14"/>
    <w:rsid w:val="00BF3009"/>
    <w:rsid w:val="00BF46D1"/>
    <w:rsid w:val="00C14C02"/>
    <w:rsid w:val="00C16D47"/>
    <w:rsid w:val="00C17A2C"/>
    <w:rsid w:val="00C23365"/>
    <w:rsid w:val="00C40E45"/>
    <w:rsid w:val="00C45FE6"/>
    <w:rsid w:val="00C52FA4"/>
    <w:rsid w:val="00C54583"/>
    <w:rsid w:val="00C56C51"/>
    <w:rsid w:val="00C61B94"/>
    <w:rsid w:val="00C761E6"/>
    <w:rsid w:val="00C8791A"/>
    <w:rsid w:val="00CA533F"/>
    <w:rsid w:val="00CA6F3C"/>
    <w:rsid w:val="00CB7BCB"/>
    <w:rsid w:val="00CC09C6"/>
    <w:rsid w:val="00CC1DA1"/>
    <w:rsid w:val="00CC4486"/>
    <w:rsid w:val="00CD52F8"/>
    <w:rsid w:val="00CE6D8B"/>
    <w:rsid w:val="00CF27CE"/>
    <w:rsid w:val="00CF2F6A"/>
    <w:rsid w:val="00D057BE"/>
    <w:rsid w:val="00D05DF3"/>
    <w:rsid w:val="00D13F1E"/>
    <w:rsid w:val="00D25179"/>
    <w:rsid w:val="00D37AF8"/>
    <w:rsid w:val="00D46FDC"/>
    <w:rsid w:val="00D513B7"/>
    <w:rsid w:val="00D5454B"/>
    <w:rsid w:val="00D56A13"/>
    <w:rsid w:val="00D56F48"/>
    <w:rsid w:val="00D7398B"/>
    <w:rsid w:val="00D914EC"/>
    <w:rsid w:val="00D953F1"/>
    <w:rsid w:val="00DA1A8C"/>
    <w:rsid w:val="00DA713B"/>
    <w:rsid w:val="00DB2426"/>
    <w:rsid w:val="00DC02E6"/>
    <w:rsid w:val="00DC3CC9"/>
    <w:rsid w:val="00DC74F7"/>
    <w:rsid w:val="00DE6DF1"/>
    <w:rsid w:val="00DF1815"/>
    <w:rsid w:val="00DF2686"/>
    <w:rsid w:val="00DF7101"/>
    <w:rsid w:val="00E036FD"/>
    <w:rsid w:val="00E03D02"/>
    <w:rsid w:val="00E1113A"/>
    <w:rsid w:val="00E312CB"/>
    <w:rsid w:val="00E4354A"/>
    <w:rsid w:val="00E46BEA"/>
    <w:rsid w:val="00E508A8"/>
    <w:rsid w:val="00E539FB"/>
    <w:rsid w:val="00E551E9"/>
    <w:rsid w:val="00E57AB0"/>
    <w:rsid w:val="00E65198"/>
    <w:rsid w:val="00E746FD"/>
    <w:rsid w:val="00E82584"/>
    <w:rsid w:val="00E8477D"/>
    <w:rsid w:val="00E91561"/>
    <w:rsid w:val="00EA04E9"/>
    <w:rsid w:val="00EA7C9B"/>
    <w:rsid w:val="00EB100A"/>
    <w:rsid w:val="00EB32E0"/>
    <w:rsid w:val="00EC653B"/>
    <w:rsid w:val="00ED0A5F"/>
    <w:rsid w:val="00ED17E5"/>
    <w:rsid w:val="00ED25D8"/>
    <w:rsid w:val="00ED4011"/>
    <w:rsid w:val="00EF7C24"/>
    <w:rsid w:val="00F000EA"/>
    <w:rsid w:val="00F01278"/>
    <w:rsid w:val="00F01C81"/>
    <w:rsid w:val="00F166A2"/>
    <w:rsid w:val="00F23C40"/>
    <w:rsid w:val="00F36F1B"/>
    <w:rsid w:val="00F37315"/>
    <w:rsid w:val="00F55E32"/>
    <w:rsid w:val="00F66A3B"/>
    <w:rsid w:val="00F705B0"/>
    <w:rsid w:val="00F8324D"/>
    <w:rsid w:val="00F87806"/>
    <w:rsid w:val="00F95705"/>
    <w:rsid w:val="00FA2BE4"/>
    <w:rsid w:val="00FA3789"/>
    <w:rsid w:val="00FA6888"/>
    <w:rsid w:val="00FC1B00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F860EBD8-B68E-4AF9-9B3C-66E60B7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A482-FE81-4ECB-AE66-BF33BFA0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Tomann</vt:lpstr>
    </vt:vector>
  </TitlesOfParts>
  <Company>PRIA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Tomann</dc:title>
  <dc:subject/>
  <dc:creator>kadip</dc:creator>
  <dc:description/>
  <cp:lastModifiedBy>Tiiu Klement</cp:lastModifiedBy>
  <cp:revision>2</cp:revision>
  <cp:lastPrinted>2008-01-02T08:27:00Z</cp:lastPrinted>
  <dcterms:created xsi:type="dcterms:W3CDTF">2021-09-25T10:30:00Z</dcterms:created>
  <dcterms:modified xsi:type="dcterms:W3CDTF">2021-09-25T10:30:00Z</dcterms:modified>
</cp:coreProperties>
</file>